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292735</wp:posOffset>
            </wp:positionV>
            <wp:extent cx="71335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352425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001-42683</w:t>
      </w:r>
    </w:p>
    <w:p>
      <w:pPr>
        <w:spacing w:after="0" w:line="1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Julong Holding Limited</w:t>
      </w:r>
    </w:p>
    <w:p>
      <w:pPr>
        <w:spacing w:after="0" w:line="4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2009, Building A, Times Fortune World</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No.1 Hangfeng Road, Fengtai District</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China 100070</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1" w:lineRule="exact"/>
        <w:rPr>
          <w:sz w:val="24"/>
          <w:szCs w:val="24"/>
          <w:color w:val="auto"/>
        </w:rPr>
      </w:pPr>
    </w:p>
    <w:p>
      <w:pPr>
        <w:ind w:left="436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194945</wp:posOffset>
            </wp:positionV>
            <wp:extent cx="7133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518160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139"/>
          </w:cols>
          <w:pgMar w:left="320" w:top="73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Julong Holding Limited, a Cayman Islands exempted company (the “Company”) is furnishing this Form 6-K to provide results for the six months ended March 31, 2025 in connection with the unaudited interim condensed consolidated financial statements for the six months ended March 31, 2025.</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42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7"/>
        </w:trPr>
        <w:tc>
          <w:tcPr>
            <w:tcW w:w="340" w:type="dxa"/>
            <w:vAlign w:val="bottom"/>
            <w:tcBorders>
              <w:top w:val="single" w:sz="8" w:color="auto"/>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99.1</w:t>
            </w: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10120" w:type="dxa"/>
            <w:vAlign w:val="bottom"/>
            <w:tcBorders>
              <w:top w:val="single" w:sz="8" w:color="auto"/>
              <w:bottom w:val="single" w:sz="8" w:color="0000EE"/>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EE"/>
                <w:w w:val="98"/>
              </w:rPr>
              <w:t>Unaudited Condensed Consolidated Financial Statements as of March 31, 2024 and March 31, 2025 and for the Six Months Ended March 31,</w:t>
            </w:r>
          </w:p>
        </w:tc>
      </w:tr>
      <w:tr>
        <w:trPr>
          <w:trHeight w:val="194"/>
        </w:trPr>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2024 and March 31, 2025</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3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99.2</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5"/>
          </w:tcPr>
          <w:p>
            <w:pPr>
              <w:spacing w:after="0" w:line="174"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 for the Six Months Ended March 31, 2025</w:t>
            </w:r>
          </w:p>
        </w:tc>
      </w:tr>
      <w:tr>
        <w:trPr>
          <w:trHeight w:val="20"/>
        </w:trPr>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59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4"/>
        </w:trPr>
        <w:tc>
          <w:tcPr>
            <w:tcW w:w="3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99.3</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40" w:type="dxa"/>
            <w:vAlign w:val="bottom"/>
            <w:gridSpan w:val="5"/>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Earning Release, dated as of September 25, 2025</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1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4"/>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SCH</w:t>
            </w:r>
          </w:p>
        </w:tc>
        <w:tc>
          <w:tcPr>
            <w:tcW w:w="120" w:type="dxa"/>
            <w:vAlign w:val="bottom"/>
            <w:shd w:val="clear" w:color="auto" w:fill="CCEEFF"/>
          </w:tcPr>
          <w:p>
            <w:pPr>
              <w:spacing w:after="0"/>
              <w:rPr>
                <w:sz w:val="18"/>
                <w:szCs w:val="18"/>
                <w:color w:val="auto"/>
              </w:rPr>
            </w:pPr>
          </w:p>
        </w:tc>
        <w:tc>
          <w:tcPr>
            <w:tcW w:w="10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4"/>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20" w:type="dxa"/>
            <w:vAlign w:val="bottom"/>
            <w:shd w:val="clear" w:color="auto" w:fill="CCEEFF"/>
          </w:tcPr>
          <w:p>
            <w:pPr>
              <w:spacing w:after="0"/>
              <w:rPr>
                <w:sz w:val="18"/>
                <w:szCs w:val="18"/>
                <w:color w:val="auto"/>
              </w:rPr>
            </w:pPr>
          </w:p>
        </w:tc>
        <w:tc>
          <w:tcPr>
            <w:tcW w:w="10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1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4"/>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20" w:type="dxa"/>
            <w:vAlign w:val="bottom"/>
            <w:shd w:val="clear" w:color="auto" w:fill="CCEEFF"/>
          </w:tcPr>
          <w:p>
            <w:pPr>
              <w:spacing w:after="0"/>
              <w:rPr>
                <w:sz w:val="18"/>
                <w:szCs w:val="18"/>
                <w:color w:val="auto"/>
              </w:rPr>
            </w:pPr>
          </w:p>
        </w:tc>
        <w:tc>
          <w:tcPr>
            <w:tcW w:w="10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5580" w:right="4420" w:hanging="5573"/>
        <w:spacing w:after="0" w:line="505" w:lineRule="auto"/>
        <w:tabs>
          <w:tab w:leader="none" w:pos="109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Jiaqi Hu</w:t>
            </w:r>
          </w:p>
        </w:tc>
      </w:tr>
      <w:tr>
        <w:trPr>
          <w:trHeight w:val="189"/>
        </w:trPr>
        <w:tc>
          <w:tcPr>
            <w:tcW w:w="6200" w:type="dxa"/>
            <w:vAlign w:val="bottom"/>
          </w:tcPr>
          <w:p>
            <w:pPr>
              <w:ind w:left="56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Jiaqi Hu</w:t>
            </w:r>
          </w:p>
        </w:tc>
      </w:tr>
      <w:tr>
        <w:trPr>
          <w:trHeight w:val="21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3"/>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2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25, 2025</w:t>
            </w:r>
          </w:p>
        </w:tc>
        <w:tc>
          <w:tcPr>
            <w:tcW w:w="5040" w:type="dxa"/>
            <w:vAlign w:val="bottom"/>
          </w:tcPr>
          <w:p>
            <w:pPr>
              <w:spacing w:after="0"/>
              <w:rPr>
                <w:sz w:val="24"/>
                <w:szCs w:val="24"/>
                <w:color w:val="auto"/>
              </w:rPr>
            </w:pPr>
          </w:p>
        </w:tc>
      </w:tr>
      <w:tr>
        <w:trPr>
          <w:trHeight w:val="428"/>
        </w:trPr>
        <w:tc>
          <w:tcPr>
            <w:tcW w:w="62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2024 AND MARCH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Pr>
          <w:p>
            <w:pPr>
              <w:spacing w:after="0"/>
              <w:rPr>
                <w:sz w:val="20"/>
                <w:szCs w:val="20"/>
                <w:color w:val="auto"/>
              </w:rPr>
            </w:pPr>
          </w:p>
        </w:tc>
        <w:tc>
          <w:tcPr>
            <w:tcW w:w="24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2025</w:t>
            </w:r>
          </w:p>
        </w:tc>
      </w:tr>
      <w:tr>
        <w:trPr>
          <w:trHeight w:val="208"/>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Borders>
              <w:top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8"/>
                <w:szCs w:val="18"/>
                <w:color w:val="auto"/>
              </w:rPr>
            </w:pPr>
          </w:p>
        </w:tc>
        <w:tc>
          <w:tcPr>
            <w:tcW w:w="168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20,618,058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21,273,012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2,931,499</w:t>
            </w:r>
          </w:p>
        </w:tc>
      </w:tr>
      <w:tr>
        <w:trPr>
          <w:trHeight w:val="21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154,072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12,816</w:t>
            </w:r>
          </w:p>
        </w:tc>
      </w:tr>
      <w:tr>
        <w:trPr>
          <w:trHeight w:val="196"/>
        </w:trPr>
        <w:tc>
          <w:tcPr>
            <w:tcW w:w="49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Accounts receivable (net of allowance of RMB641,101 and</w:t>
            </w: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RMB738,023 as of September 30,2024 and March 31, 2025,</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3"/>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12,677,175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17,054,250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2,350,138</w:t>
            </w:r>
          </w:p>
        </w:tc>
      </w:tr>
      <w:tr>
        <w:trPr>
          <w:trHeight w:val="196"/>
        </w:trPr>
        <w:tc>
          <w:tcPr>
            <w:tcW w:w="4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receivable (net of allowance of RMB2,630 and nil as of</w:t>
            </w: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2024 and March 31, 2025, respectively)</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247,550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330,690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45,570</w:t>
            </w:r>
          </w:p>
        </w:tc>
      </w:tr>
      <w:tr>
        <w:trPr>
          <w:trHeight w:val="21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4,525,495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3,826,469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527,302</w:t>
            </w:r>
          </w:p>
        </w:tc>
      </w:tr>
      <w:tr>
        <w:trPr>
          <w:trHeight w:val="196"/>
        </w:trPr>
        <w:tc>
          <w:tcPr>
            <w:tcW w:w="4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Contract assets-current (net of allowance of RMB2,292,498 and</w:t>
            </w: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RMB2,604,481 as of September 30, 2024 and March 31, 2025,</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123,079,151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143,633,239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19,793,190</w:t>
            </w:r>
          </w:p>
        </w:tc>
      </w:tr>
      <w:tr>
        <w:trPr>
          <w:trHeight w:val="22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6,155,161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8,083,461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1,113,931</w:t>
            </w:r>
          </w:p>
        </w:tc>
      </w:tr>
      <w:tr>
        <w:trPr>
          <w:trHeight w:val="20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167,456,662</w:t>
            </w:r>
          </w:p>
        </w:tc>
        <w:tc>
          <w:tcPr>
            <w:tcW w:w="34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194,294,121</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26,774,446</w:t>
            </w:r>
          </w:p>
        </w:tc>
        <w:tc>
          <w:tcPr>
            <w:tcW w:w="100" w:type="dxa"/>
            <w:vAlign w:val="bottom"/>
          </w:tcPr>
          <w:p>
            <w:pPr>
              <w:spacing w:after="0"/>
              <w:rPr>
                <w:sz w:val="18"/>
                <w:szCs w:val="18"/>
                <w:color w:val="auto"/>
              </w:rPr>
            </w:pPr>
          </w:p>
        </w:tc>
      </w:tr>
      <w:tr>
        <w:trPr>
          <w:trHeight w:val="214"/>
        </w:trPr>
        <w:tc>
          <w:tcPr>
            <w:tcW w:w="4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97,359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90,242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12,436</w:t>
            </w:r>
          </w:p>
        </w:tc>
      </w:tr>
      <w:tr>
        <w:trPr>
          <w:trHeight w:val="21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572,187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634,369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87,418</w:t>
            </w:r>
          </w:p>
        </w:tc>
      </w:tr>
      <w:tr>
        <w:trPr>
          <w:trHeight w:val="21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127,163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32,161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4,432</w:t>
            </w:r>
          </w:p>
        </w:tc>
      </w:tr>
      <w:tr>
        <w:trPr>
          <w:trHeight w:val="22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 non-current, net</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4,824,870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4,348,188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599,196</w:t>
            </w:r>
          </w:p>
        </w:tc>
      </w:tr>
      <w:tr>
        <w:trPr>
          <w:trHeight w:val="208"/>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5,621,579</w:t>
            </w: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5,104,960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173,078,241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199,399,081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27,477,928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4"/>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1,378,037</w:t>
            </w:r>
          </w:p>
        </w:tc>
      </w:tr>
      <w:tr>
        <w:trPr>
          <w:trHeight w:val="21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26,759,291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22,038,550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3,036,993</w:t>
            </w:r>
          </w:p>
        </w:tc>
      </w:tr>
      <w:tr>
        <w:trPr>
          <w:trHeight w:val="21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255,740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2,337,063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322,056</w:t>
            </w:r>
          </w:p>
        </w:tc>
      </w:tr>
      <w:tr>
        <w:trPr>
          <w:trHeight w:val="21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108,867,471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128,316,651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17,682,507</w:t>
            </w:r>
          </w:p>
        </w:tc>
      </w:tr>
      <w:tr>
        <w:trPr>
          <w:trHeight w:val="21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14,446,857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610,730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84,161</w:t>
            </w:r>
          </w:p>
        </w:tc>
      </w:tr>
      <w:tr>
        <w:trPr>
          <w:trHeight w:val="21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5,277,938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7,153,482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985,776</w:t>
            </w:r>
          </w:p>
        </w:tc>
      </w:tr>
      <w:tr>
        <w:trPr>
          <w:trHeight w:val="22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95,003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155,702,300</w:t>
            </w: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170,456,476</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23,489,530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r>
    </w:tbl>
    <w:p>
      <w:pPr>
        <w:spacing w:after="0" w:line="192"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Subscription Receivable</w:t>
      </w:r>
    </w:p>
    <w:p>
      <w:pPr>
        <w:spacing w:after="0" w:line="7" w:lineRule="exact"/>
        <w:rPr>
          <w:sz w:val="20"/>
          <w:szCs w:val="20"/>
          <w:color w:val="auto"/>
        </w:rPr>
      </w:pPr>
    </w:p>
    <w:p>
      <w:pPr>
        <w:ind w:left="180"/>
        <w:spacing w:after="0" w:line="263" w:lineRule="auto"/>
        <w:rPr>
          <w:sz w:val="20"/>
          <w:szCs w:val="20"/>
          <w:color w:val="auto"/>
        </w:rPr>
      </w:pPr>
      <w:r>
        <w:rPr>
          <w:rFonts w:ascii="Times New Roman" w:cs="Times New Roman" w:eastAsia="Times New Roman" w:hAnsi="Times New Roman"/>
          <w:sz w:val="17"/>
          <w:szCs w:val="17"/>
          <w:color w:val="auto"/>
        </w:rPr>
        <w:t>Ordinary shares subscribed (US$0.0001 par value, 500,000,000 shares authorized as of September 30, 2024 and March 31, 2025; 20,011,132 shares issued and outstanding as of September 30,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155,702,300</w:t>
            </w:r>
          </w:p>
        </w:tc>
        <w:tc>
          <w:tcPr>
            <w:tcW w:w="3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170,456,476</w:t>
            </w:r>
          </w:p>
        </w:tc>
        <w:tc>
          <w:tcPr>
            <w:tcW w:w="320" w:type="dxa"/>
            <w:vAlign w:val="bottom"/>
          </w:tcPr>
          <w:p>
            <w:pPr>
              <w:spacing w:after="0"/>
              <w:rPr>
                <w:sz w:val="20"/>
                <w:szCs w:val="20"/>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23,489,530</w:t>
            </w:r>
          </w:p>
        </w:tc>
        <w:tc>
          <w:tcPr>
            <w:tcW w:w="40" w:type="dxa"/>
            <w:vAlign w:val="bottom"/>
          </w:tcPr>
          <w:p>
            <w:pPr>
              <w:spacing w:after="0"/>
              <w:rPr>
                <w:sz w:val="20"/>
                <w:szCs w:val="20"/>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9"/>
        </w:trPr>
        <w:tc>
          <w:tcPr>
            <w:tcW w:w="2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(14,043)</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(14,521)</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-450215</wp:posOffset>
            </wp:positionV>
            <wp:extent cx="7133590" cy="161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61290"/>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-135890</wp:posOffset>
            </wp:positionV>
            <wp:extent cx="7133590" cy="135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4820" w:space="360"/>
            <w:col w:w="6060"/>
          </w:cols>
          <w:pgMar w:left="320" w:top="331" w:right="3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5180" w:type="dxa"/>
            <w:vAlign w:val="bottom"/>
          </w:tcPr>
          <w:p>
            <w:pPr>
              <w:ind w:left="180"/>
              <w:spacing w:after="0" w:line="253" w:lineRule="exact"/>
              <w:rPr>
                <w:sz w:val="20"/>
                <w:szCs w:val="20"/>
                <w:color w:val="auto"/>
              </w:rPr>
            </w:pPr>
            <w:r>
              <w:rPr>
                <w:rFonts w:ascii="Times New Roman" w:cs="Times New Roman" w:eastAsia="Times New Roman" w:hAnsi="Times New Roman"/>
                <w:sz w:val="18"/>
                <w:szCs w:val="18"/>
                <w:color w:val="auto"/>
              </w:rPr>
              <w:t>2024 and March 31, 2025</w:t>
            </w:r>
            <w:r>
              <w:rPr>
                <w:rFonts w:ascii="Times New Roman" w:cs="Times New Roman" w:eastAsia="Times New Roman" w:hAnsi="Times New Roman"/>
                <w:sz w:val="29"/>
                <w:szCs w:val="29"/>
                <w:color w:val="auto"/>
                <w:vertAlign w:val="superscript"/>
              </w:rPr>
              <w:t>1)</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14,043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14,521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tcPr>
          <w:p>
            <w:pPr>
              <w:spacing w:after="0"/>
              <w:rPr>
                <w:sz w:val="22"/>
                <w:szCs w:val="22"/>
                <w:color w:val="auto"/>
              </w:rPr>
            </w:pPr>
          </w:p>
        </w:tc>
      </w:tr>
      <w:tr>
        <w:trPr>
          <w:trHeight w:val="21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reserve</w:t>
            </w: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3,267,815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4,424,481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609,710</w:t>
            </w:r>
          </w:p>
        </w:tc>
        <w:tc>
          <w:tcPr>
            <w:tcW w:w="80" w:type="dxa"/>
            <w:vAlign w:val="bottom"/>
            <w:shd w:val="clear" w:color="auto" w:fill="CCEEFF"/>
          </w:tcPr>
          <w:p>
            <w:pPr>
              <w:spacing w:after="0"/>
              <w:rPr>
                <w:sz w:val="18"/>
                <w:szCs w:val="18"/>
                <w:color w:val="auto"/>
              </w:rPr>
            </w:pPr>
          </w:p>
        </w:tc>
      </w:tr>
      <w:tr>
        <w:trPr>
          <w:trHeight w:val="228"/>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14,108,126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24,518,124</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3,378,688</w:t>
            </w:r>
          </w:p>
        </w:tc>
        <w:tc>
          <w:tcPr>
            <w:tcW w:w="80" w:type="dxa"/>
            <w:vAlign w:val="bottom"/>
          </w:tcPr>
          <w:p>
            <w:pPr>
              <w:spacing w:after="0"/>
              <w:rPr>
                <w:sz w:val="19"/>
                <w:szCs w:val="19"/>
                <w:color w:val="auto"/>
              </w:rPr>
            </w:pPr>
          </w:p>
        </w:tc>
      </w:tr>
      <w:tr>
        <w:trPr>
          <w:trHeight w:val="208"/>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17,375,941</w:t>
            </w: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28,942,605</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3,988,398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1"/>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173,078,241</w:t>
            </w:r>
          </w:p>
        </w:tc>
        <w:tc>
          <w:tcPr>
            <w:tcW w:w="3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199,399,081</w:t>
            </w:r>
          </w:p>
        </w:tc>
        <w:tc>
          <w:tcPr>
            <w:tcW w:w="3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27,477,928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Giving retroactive effect to Reorganization transactions.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MARCH 31, 2024 AND MARCH 31,2025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Six Months Ended March 31,</w:t>
            </w:r>
          </w:p>
        </w:tc>
        <w:tc>
          <w:tcPr>
            <w:tcW w:w="1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1"/>
        </w:trPr>
        <w:tc>
          <w:tcPr>
            <w:tcW w:w="5400" w:type="dxa"/>
            <w:vAlign w:val="bottom"/>
          </w:tcPr>
          <w:p>
            <w:pPr>
              <w:spacing w:after="0"/>
              <w:rPr>
                <w:sz w:val="19"/>
                <w:szCs w:val="19"/>
                <w:color w:val="auto"/>
              </w:rPr>
            </w:pPr>
          </w:p>
        </w:tc>
        <w:tc>
          <w:tcPr>
            <w:tcW w:w="170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202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68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RMB</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RMB</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gridSpan w:val="2"/>
          </w:tcPr>
          <w:p>
            <w:pPr>
              <w:spacing w:after="0"/>
              <w:rPr>
                <w:sz w:val="18"/>
                <w:szCs w:val="18"/>
                <w:color w:val="auto"/>
              </w:rPr>
            </w:pP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92,845,812</w:t>
            </w:r>
          </w:p>
        </w:tc>
        <w:tc>
          <w:tcPr>
            <w:tcW w:w="2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102,175,246</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14,080,125</w:t>
            </w:r>
          </w:p>
        </w:tc>
        <w:tc>
          <w:tcPr>
            <w:tcW w:w="80" w:type="dxa"/>
            <w:vAlign w:val="bottom"/>
            <w:shd w:val="clear" w:color="auto" w:fill="CCEEFF"/>
          </w:tcPr>
          <w:p>
            <w:pPr>
              <w:spacing w:after="0"/>
              <w:rPr>
                <w:sz w:val="19"/>
                <w:szCs w:val="19"/>
                <w:color w:val="auto"/>
              </w:rPr>
            </w:pP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78,385,993</w:t>
            </w:r>
          </w:p>
        </w:tc>
        <w:tc>
          <w:tcPr>
            <w:tcW w:w="2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85,456,746</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11,776,254</w:t>
            </w:r>
          </w:p>
        </w:tc>
        <w:tc>
          <w:tcPr>
            <w:tcW w:w="80" w:type="dxa"/>
            <w:vAlign w:val="bottom"/>
            <w:shd w:val="clear" w:color="auto" w:fill="CCEEFF"/>
          </w:tcPr>
          <w:p>
            <w:pPr>
              <w:spacing w:after="0"/>
              <w:rPr>
                <w:sz w:val="19"/>
                <w:szCs w:val="19"/>
                <w:color w:val="auto"/>
              </w:rPr>
            </w:pP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14,459,819</w:t>
            </w:r>
          </w:p>
        </w:tc>
        <w:tc>
          <w:tcPr>
            <w:tcW w:w="2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16,718,500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2,303,871</w:t>
            </w:r>
          </w:p>
        </w:tc>
        <w:tc>
          <w:tcPr>
            <w:tcW w:w="80" w:type="dxa"/>
            <w:vAlign w:val="bottom"/>
            <w:shd w:val="clear" w:color="auto" w:fill="CCEEFF"/>
          </w:tcPr>
          <w:p>
            <w:pPr>
              <w:spacing w:after="0"/>
              <w:rPr>
                <w:sz w:val="19"/>
                <w:szCs w:val="19"/>
                <w:color w:val="auto"/>
              </w:rPr>
            </w:pP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3,988,800</w:t>
            </w:r>
          </w:p>
        </w:tc>
        <w:tc>
          <w:tcPr>
            <w:tcW w:w="2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3,105,980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428,015</w:t>
            </w:r>
          </w:p>
        </w:tc>
        <w:tc>
          <w:tcPr>
            <w:tcW w:w="80" w:type="dxa"/>
            <w:vAlign w:val="bottom"/>
          </w:tcPr>
          <w:p>
            <w:pPr>
              <w:spacing w:after="0"/>
              <w:rPr>
                <w:sz w:val="19"/>
                <w:szCs w:val="19"/>
                <w:color w:val="auto"/>
              </w:rPr>
            </w:pP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3,988,800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3,105,980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428,015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10,471,019</w:t>
            </w:r>
          </w:p>
        </w:tc>
        <w:tc>
          <w:tcPr>
            <w:tcW w:w="2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13,612,520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1,875,856</w:t>
            </w:r>
          </w:p>
        </w:tc>
        <w:tc>
          <w:tcPr>
            <w:tcW w:w="80" w:type="dxa"/>
            <w:vAlign w:val="bottom"/>
            <w:shd w:val="clear" w:color="auto" w:fill="CCEEFF"/>
          </w:tcPr>
          <w:p>
            <w:pPr>
              <w:spacing w:after="0"/>
              <w:rPr>
                <w:sz w:val="18"/>
                <w:szCs w:val="18"/>
                <w:color w:val="auto"/>
              </w:rPr>
            </w:pPr>
          </w:p>
        </w:tc>
      </w:tr>
      <w:tr>
        <w:trPr>
          <w:trHeight w:val="214"/>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6,152</w:t>
            </w:r>
          </w:p>
        </w:tc>
        <w:tc>
          <w:tcPr>
            <w:tcW w:w="2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(936)</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263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10,477,171</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13,611,847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1,875,763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8"/>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1,589,833</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2,045,183</w:t>
            </w:r>
          </w:p>
        </w:tc>
        <w:tc>
          <w:tcPr>
            <w:tcW w:w="3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8"/>
        </w:trPr>
        <w:tc>
          <w:tcPr>
            <w:tcW w:w="5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8,887,338</w:t>
            </w:r>
          </w:p>
        </w:tc>
        <w:tc>
          <w:tcPr>
            <w:tcW w:w="2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11,566,664</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1,593,929</w:t>
            </w:r>
          </w:p>
        </w:tc>
        <w:tc>
          <w:tcPr>
            <w:tcW w:w="80" w:type="dxa"/>
            <w:vAlign w:val="bottom"/>
          </w:tcPr>
          <w:p>
            <w:pPr>
              <w:spacing w:after="0"/>
              <w:rPr>
                <w:sz w:val="18"/>
                <w:szCs w:val="18"/>
                <w:color w:val="auto"/>
              </w:rPr>
            </w:pP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 of nil:</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1"/>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8,887,338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11,566,664</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1,593,929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SIX MONTHS ENDED MARCH 31, 2024 AND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Total Julong</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Accumulated</w:t>
            </w: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Holding</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Stock</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Additional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(Accumulated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Limited</w:t>
            </w:r>
          </w:p>
        </w:tc>
        <w:tc>
          <w:tcPr>
            <w:tcW w:w="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Subscription</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paid-in</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Statutory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comprehensive</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deficit)/Retained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shareholders’</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controlling</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16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Ordinary shares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Receivable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capital</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reserve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income</w:t>
            </w:r>
          </w:p>
        </w:tc>
        <w:tc>
          <w:tcPr>
            <w:tcW w:w="4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earnings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equity</w:t>
            </w:r>
          </w:p>
        </w:tc>
        <w:tc>
          <w:tcPr>
            <w:tcW w:w="4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interest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Number</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RMB</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2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RMB</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00" w:type="dxa"/>
            <w:vAlign w:val="bottom"/>
          </w:tcPr>
          <w:p>
            <w:pPr>
              <w:spacing w:after="0"/>
              <w:rPr>
                <w:sz w:val="19"/>
                <w:szCs w:val="19"/>
                <w:color w:val="auto"/>
              </w:rPr>
            </w:pPr>
          </w:p>
        </w:tc>
        <w:tc>
          <w:tcPr>
            <w:tcW w:w="9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RMB</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1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20,011,132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14,600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(14,600)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52,000,000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1,560,196</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5,838,058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59,398,254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59,398,254</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bottom w:val="single" w:sz="8" w:color="CCEEFF"/>
            </w:tcBorders>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Net income for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the year</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8,887,338</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8,887,338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8,887,338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Provision of</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888,734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(888,734)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Reorganization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 February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(52,000,000)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(7,098,500)</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(59,098,500)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(59,098,500)</w:t>
            </w: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Foreign</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20,011,132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14,449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(14,449)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2,448,930</w:t>
            </w:r>
          </w:p>
        </w:tc>
        <w:tc>
          <w:tcPr>
            <w:tcW w:w="1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6,738,162</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9,187,092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9,187,092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1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20,011,132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14,043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(14,043)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3,267,815</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14,108,126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17,375,941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17,375,941</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for</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the year</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11,566,664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11,566,664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11,566,664</w:t>
            </w: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Provision of</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1,156,666</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(1,156,666)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Foreign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currency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translation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1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20,011,132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14,521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(14,521)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4,424,481</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24,518,124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28,942,605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28,942,605</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340"/>
          </w:cols>
          <w:pgMar w:left="320" w:top="68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UNAUITED 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MARCH 31, 2024 AND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5400" w:type="dxa"/>
            <w:vAlign w:val="bottom"/>
          </w:tcPr>
          <w:p>
            <w:pPr>
              <w:spacing w:after="0"/>
              <w:rPr>
                <w:sz w:val="19"/>
                <w:szCs w:val="19"/>
                <w:color w:val="auto"/>
              </w:rPr>
            </w:pPr>
          </w:p>
        </w:tc>
        <w:tc>
          <w:tcPr>
            <w:tcW w:w="17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6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8"/>
        </w:trPr>
        <w:tc>
          <w:tcPr>
            <w:tcW w:w="54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r>
      <w:tr>
        <w:trPr>
          <w:trHeight w:val="20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8,887,338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11,566,664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1,593,929</w:t>
            </w: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0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17,690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7,117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the right-of-use assets</w:t>
            </w:r>
          </w:p>
        </w:tc>
        <w:tc>
          <w:tcPr>
            <w:tcW w:w="20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90,695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95,003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13,092</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allowance for doubtful accounts</w:t>
            </w:r>
          </w:p>
        </w:tc>
        <w:tc>
          <w:tcPr>
            <w:tcW w:w="20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280,208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94,292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12,994</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allowance for contract assets</w:t>
            </w:r>
          </w:p>
        </w:tc>
        <w:tc>
          <w:tcPr>
            <w:tcW w:w="20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95,174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311,983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42,992</w:t>
            </w:r>
          </w:p>
        </w:tc>
      </w:tr>
      <w:tr>
        <w:trPr>
          <w:trHeight w:val="214"/>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6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(986,247)</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(4,473,997)</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(616,533)</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206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(97,484)</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(80,510)</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(11,095)</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644,397</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(759,161)</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(104,615)</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7,890,313</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(20,866,070)</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(2,875,421)</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20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20,841,246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699,026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96,328</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6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(56,182)</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(62,182)</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(8,569)</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6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(472,905)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476,681</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65,688</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11,417,068</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(4,720,741)</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(650,536)</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6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1,441,732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16,811,087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2,316,630</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0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1,990,524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1,875,544</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258,457</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6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(5,492,726)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2,081,323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286,814</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0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15,070,141</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(13,836,127)</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(1,906,669)</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6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(90,695)</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(95,003)</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(13,092)</w:t>
            </w: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119,707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2,638,092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363,539</w:t>
            </w: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06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61,589,994</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(8,236,979)</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(1,135,086)</w:t>
            </w:r>
          </w:p>
        </w:tc>
      </w:tr>
      <w:tr>
        <w:trPr>
          <w:trHeight w:val="214"/>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Julong Online</w:t>
            </w:r>
          </w:p>
        </w:tc>
        <w:tc>
          <w:tcPr>
            <w:tcW w:w="206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(59,098,500)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(59,098,500)</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2" w:lineRule="exact"/>
        <w:rPr>
          <w:sz w:val="20"/>
          <w:szCs w:val="20"/>
          <w:color w:val="auto"/>
        </w:rPr>
      </w:pPr>
    </w:p>
    <w:p>
      <w:pPr>
        <w:sectPr>
          <w:pgSz w:w="11900" w:h="16838" w:orient="portrait"/>
          <w:cols w:equalWidth="0" w:num="1">
            <w:col w:w="11240"/>
          </w:cols>
          <w:pgMar w:left="320" w:top="680" w:right="339" w:bottom="1440" w:gutter="0" w:footer="0" w:header="0"/>
        </w:sectPr>
      </w:pPr>
    </w:p>
    <w:p>
      <w:pPr>
        <w:ind w:right="7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FLOWS FROM FINANCING ACTIVITIES </w:t>
      </w:r>
      <w:r>
        <w:rPr>
          <w:rFonts w:ascii="Times New Roman" w:cs="Times New Roman" w:eastAsia="Times New Roman" w:hAnsi="Times New Roman"/>
          <w:sz w:val="18"/>
          <w:szCs w:val="18"/>
          <w:color w:val="auto"/>
        </w:rPr>
        <w:t>Repayment of short-term borrowing Payment of deferred offering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(10,000,000)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1,378,037</w:t>
            </w:r>
          </w:p>
        </w:tc>
        <w:tc>
          <w:tcPr>
            <w:tcW w:w="60" w:type="dxa"/>
            <w:vAlign w:val="bottom"/>
          </w:tcPr>
          <w:p>
            <w:pPr>
              <w:spacing w:after="0"/>
              <w:rPr>
                <w:sz w:val="18"/>
                <w:szCs w:val="18"/>
                <w:color w:val="auto"/>
              </w:rPr>
            </w:pPr>
          </w:p>
        </w:tc>
      </w:tr>
      <w:tr>
        <w:trPr>
          <w:trHeight w:val="246"/>
        </w:trPr>
        <w:tc>
          <w:tcPr>
            <w:tcW w:w="20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(4,835,479)</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(1,169,139)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(161,112)</w:t>
            </w:r>
          </w:p>
        </w:tc>
      </w:tr>
      <w:tr>
        <w:trPr>
          <w:trHeight w:val="208"/>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(14,835,479</w:t>
            </w:r>
          </w:p>
        </w:tc>
        <w:tc>
          <w:tcPr>
            <w:tcW w:w="36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8,830,861</w:t>
            </w:r>
          </w:p>
        </w:tc>
        <w:tc>
          <w:tcPr>
            <w:tcW w:w="3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1,216,925</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-568960</wp:posOffset>
            </wp:positionV>
            <wp:extent cx="7133590" cy="135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-297180</wp:posOffset>
            </wp:positionV>
            <wp:extent cx="7133590" cy="144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80" w:space="720"/>
            <w:col w:w="5840"/>
          </w:cols>
          <w:pgMar w:left="320" w:top="680"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4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(12,343,985)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593,882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81,839</w:t>
            </w:r>
          </w:p>
        </w:tc>
      </w:tr>
      <w:tr>
        <w:trPr>
          <w:trHeight w:val="192"/>
        </w:trPr>
        <w:tc>
          <w:tcPr>
            <w:tcW w:w="54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the</w:t>
            </w: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25,614,931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20,772,130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2,862,476</w:t>
            </w: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13,270,946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21,366,012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2,944,315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Income taxes (refund)</w:t>
            </w:r>
          </w:p>
        </w:tc>
        <w:tc>
          <w:tcPr>
            <w:tcW w:w="282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(17,571)</w:t>
            </w:r>
          </w:p>
        </w:tc>
        <w:tc>
          <w:tcPr>
            <w:tcW w:w="206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rPr>
              <w:t>(68,832)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r>
      <w:tr>
        <w:trPr>
          <w:trHeight w:val="21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paid</w:t>
            </w:r>
          </w:p>
        </w:tc>
        <w:tc>
          <w:tcPr>
            <w:tcW w:w="282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9,000</w:t>
            </w:r>
          </w:p>
        </w:tc>
        <w:tc>
          <w:tcPr>
            <w:tcW w:w="206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5,193</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type w:val="continuous"/>
        </w:sectPr>
      </w:pPr>
    </w:p>
    <w:bookmarkStart w:id="8" w:name="page9"/>
    <w:bookmarkEnd w:id="8"/>
    <w:p>
      <w:pPr>
        <w:ind w:left="320" w:hanging="313"/>
        <w:spacing w:after="0"/>
        <w:tabs>
          <w:tab w:leader="none" w:pos="3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Principal activities</w:t>
      </w:r>
    </w:p>
    <w:p>
      <w:pPr>
        <w:spacing w:after="0" w:line="225"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Julong Holding Limited (“Julong Holding”, or the “the Company”) was incorporated under the law of Cayman Islands on August 7, 2023 as an exempted company with limited liability. The Company and its direct or indirectly owned subsidiaries (collectively, the “Group”) are a provider of intelligent integrated solutions to public utilities, enterprises, commercial, and multifamily properties operating at scale in the People’s Republic of China (“PRC”).</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Organization</w:t>
      </w:r>
    </w:p>
    <w:p>
      <w:pPr>
        <w:spacing w:after="0" w:line="225"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8"/>
          <w:szCs w:val="18"/>
          <w:color w:val="auto"/>
        </w:rPr>
        <w:t>Julong Holding owns 100% equity interest of Jiangshan Holding Limited (“Jiangshan BVI”). Hong Kong Changfeng Holding Limited (“HK Changfeng”) is incorporated under the laws of Hong Kong and it is a 100% wholly-owned subsidiary of Jiangshan BVI. Beijing Junxinyuan Technology Development Co. Ltd. (“Beijing Junxinyuan”) is a wholly-owned subsidiary of HK Changfeng incorporated in PRC.</w:t>
      </w:r>
    </w:p>
    <w:p>
      <w:pPr>
        <w:spacing w:after="0" w:line="176"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color w:val="auto"/>
        </w:rPr>
        <w:t>After February 21, 2024, Julong Holding owns 100% equity interest of Liyun Holding Limited (“Liyun BVI”). Hong Kong Qinan Holding Limited (“HK Qinan”) is a 100% wholly-owned subsidiary of Liyun BVI in Hongkong.</w:t>
      </w:r>
    </w:p>
    <w:p>
      <w:pPr>
        <w:spacing w:after="0" w:line="163"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color w:val="auto"/>
        </w:rPr>
        <w:t>Julong Online (Beijing) Technology Development Co., Ltd. (“Julong Online”) was established under the laws of the PRC on June 3, 1997, who is the Group’s main operating entity in China.</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 Reorganization</w:t>
      </w:r>
    </w:p>
    <w:p>
      <w:pPr>
        <w:spacing w:after="0" w:line="225"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color w:val="auto"/>
        </w:rPr>
        <w:t>In anticipation of an initial public offering (“IPO”) of the Company’s equity securities, the Group undertook the following steps to effect a reorganization (the “Reorganization”):</w:t>
      </w:r>
    </w:p>
    <w:p>
      <w:pPr>
        <w:spacing w:after="0" w:line="163" w:lineRule="exact"/>
        <w:rPr>
          <w:sz w:val="20"/>
          <w:szCs w:val="20"/>
          <w:color w:val="auto"/>
        </w:rPr>
      </w:pPr>
    </w:p>
    <w:p>
      <w:pPr>
        <w:ind w:left="800" w:hanging="150"/>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Julong Holding, Jiangshan BVI, HK Changfeng, and Beijing Junxinyuan.</w:t>
      </w:r>
    </w:p>
    <w:p>
      <w:pPr>
        <w:spacing w:after="0" w:line="26" w:lineRule="exact"/>
        <w:rPr>
          <w:rFonts w:ascii="Times New Roman" w:cs="Times New Roman" w:eastAsia="Times New Roman" w:hAnsi="Times New Roman"/>
          <w:sz w:val="18"/>
          <w:szCs w:val="18"/>
          <w:color w:val="auto"/>
        </w:rPr>
      </w:pPr>
    </w:p>
    <w:p>
      <w:pPr>
        <w:ind w:left="800" w:hanging="150"/>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Qinan injected US$83,490 in Julong Online and became Julong Online’s 1.00% shareholder.</w:t>
      </w:r>
    </w:p>
    <w:p>
      <w:pPr>
        <w:spacing w:after="0" w:line="7" w:lineRule="exact"/>
        <w:rPr>
          <w:rFonts w:ascii="Times New Roman" w:cs="Times New Roman" w:eastAsia="Times New Roman" w:hAnsi="Times New Roman"/>
          <w:sz w:val="18"/>
          <w:szCs w:val="18"/>
          <w:color w:val="auto"/>
        </w:rPr>
      </w:pPr>
    </w:p>
    <w:p>
      <w:pPr>
        <w:ind w:left="800" w:hanging="150"/>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Junxinyuan obtained 99.00% equity interests of Julong Online with consideration of RMB59,098,500.</w:t>
      </w:r>
    </w:p>
    <w:p>
      <w:pPr>
        <w:spacing w:after="0" w:line="7" w:lineRule="exact"/>
        <w:rPr>
          <w:rFonts w:ascii="Times New Roman" w:cs="Times New Roman" w:eastAsia="Times New Roman" w:hAnsi="Times New Roman"/>
          <w:sz w:val="18"/>
          <w:szCs w:val="18"/>
          <w:color w:val="auto"/>
        </w:rPr>
      </w:pPr>
    </w:p>
    <w:p>
      <w:pPr>
        <w:ind w:left="640" w:right="20" w:firstLine="10"/>
        <w:spacing w:after="0" w:line="248" w:lineRule="auto"/>
        <w:tabs>
          <w:tab w:leader="none" w:pos="8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Julong Holding acquired 100% of Liyun BVI, the 100% shareholder of HK Qinan, by issuing 11,132 of its own common shares, through which Julong Holding indirectly holds 100% of equity interests in Julong Online.</w:t>
      </w:r>
    </w:p>
    <w:p>
      <w:pPr>
        <w:jc w:val="both"/>
        <w:ind w:left="640" w:firstLine="10"/>
        <w:spacing w:after="0" w:line="252" w:lineRule="auto"/>
        <w:tabs>
          <w:tab w:leader="none" w:pos="8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Julong Holding issued 20,000,000 ordinary shares to Datongyi Holding Limited, a British Virgin Islands company, Datongyi Holding Limited, a British Virgin Islands company, of which 96.0% of the equity interests are held by Qiren Holding Limited, a British Virgin Islands company, which is wholly owned by Hushi Holding Limited, a British Virgin Islands company wholly owned by Mr. Jiaqi Hu.</w:t>
      </w:r>
    </w:p>
    <w:p>
      <w:pPr>
        <w:spacing w:after="0" w:line="186"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Immediately before and after the Reorganization as described above, Julong Holding together with its subsidiaries, Jiangshan BVI, HK Changfeng, Beijing Junxinyuan and Julong Online were effectively controlled by the same controlling shareholders; therefore, the Reorganization was accounted for as a recapitalization, and thus the current capital structure has been retroactively presented in prior periods as if such structure existed at that time, and the entities under common control are presented on a combined basis for all periods to which such entities were under common control.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 w:name="page10"/>
    <w:bookmarkEnd w:id="9"/>
    <w:p>
      <w:pPr>
        <w:ind w:left="320" w:hanging="313"/>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i w:val="1"/>
          <w:iCs w:val="1"/>
          <w:color w:val="auto"/>
        </w:rPr>
        <w:t>Principles of presentation and consolidation</w:t>
      </w:r>
    </w:p>
    <w:p>
      <w:pPr>
        <w:spacing w:after="0" w:line="22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As the Reorganization was accounted for as restructuring of entities under common control, the accompanying consolidated financial statements have been prepared by using historical cost basis and include the assets, liabilities, revenue, expenses and cash flows that were directly attributable to these entities for all periods presented. The consolidated financial statements have been prepared in accordance with accounting principles generally accepted in the United States of America (“U.S. GAAP”). Certain information and footnote disclosure normally included in annual financial statements prepared in accordance with U.S. GAAP have been condensed or omitted pursuant to such rules and regulations. Accordingly, these interim financial statements should be read in conjunction with the Group’s combined and consolidated financial statements for the years ended September 30, 2023 and 2024.</w:t>
      </w:r>
    </w:p>
    <w:p>
      <w:pPr>
        <w:spacing w:after="0" w:line="182" w:lineRule="exact"/>
        <w:rPr>
          <w:sz w:val="20"/>
          <w:szCs w:val="20"/>
          <w:color w:val="auto"/>
        </w:rPr>
      </w:pPr>
    </w:p>
    <w:p>
      <w:pPr>
        <w:ind w:left="600" w:hanging="272"/>
        <w:spacing w:after="0"/>
        <w:tabs>
          <w:tab w:leader="none" w:pos="6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5"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reported amounts of revenues and expenses during the reporting period. Actual results may differ from these estimates. Changes in estimates are recorded in the period they are identified. Significant accounting estimates reflected in the Group’s consolidated financial statements primarily include but not limited to Significant accounting estimates reflected in the Group’s consolidated financial statements include the estimated cost or input measure method used to calculate the revenue recognized in the Group’s, allowance for doubtful accounts and allowance for deferred tax assets and uncertain tax position. Actual results could differ from these estimates.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 Functional currency and foreign currency translation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Group’s reporting currency is the Renminbi (“RMB”). The functional currency of the Company’s subsidiaries incorporated in PRC is the RMB.</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functional currencies of the Company and its subsidiaries incorporated outside the PRC are their respective local currencies.</w:t>
      </w:r>
    </w:p>
    <w:p>
      <w:pPr>
        <w:spacing w:after="0" w:line="203"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Assets and liabilities are translated from each entity’s functional currency to the reporting currency at the exchange rate on the balance sheet date. Equity amounts are translated at historical exchange rates, and revenues, expenses, gains and losses are translated monthly using the exchange rate of the last day of the previous month. Translation adjustments are reported as cumulative translation adjustments and are shown as a separate component of accumulated other comprehensive income in the consolidated statements of changes in shareholders’ equity.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0" w:name="page11"/>
    <w:bookmarkEnd w:id="10"/>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entity’s applicable functional currencies are translated into the functional currencies at the prevailing rates of exchange at the balance sheet date. Nonmonetary assets and liabilities are re-measured into the applicable functional currencies at historical exchange rates. Transactions in currencies other than the applicable functional currencies during the year are converted into the functional currencies at the applicable rates of exchange prevailing at the transaction dates. Transaction gains and losses are recognized as other income (expense), net, in the consolidated statements of operations.</w:t>
      </w:r>
    </w:p>
    <w:p>
      <w:pPr>
        <w:spacing w:after="0" w:line="182"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225"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Translations of balances in the consolidated balance sheets, consolidated statements of operations and comprehensive income and consolidated statements of cash flows from RMB into United States dollar (“US$”) as of and for the Six Months Ended March 31, 2025 are solely for the convenience of the readers outside of the People’s Republic of China and were calculated at the rate of US$1.00 for RMB7.2567, representing the noon buying rate set forth in the H.10 statistical release of the U.S. Federal Reserve Board on March 31, 2025.</w:t>
      </w:r>
    </w:p>
    <w:p>
      <w:pPr>
        <w:spacing w:after="0" w:line="177"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Fair value</w:t>
      </w:r>
    </w:p>
    <w:p>
      <w:pPr>
        <w:spacing w:after="0" w:line="225"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8"/>
          <w:szCs w:val="18"/>
          <w:color w:val="auto"/>
        </w:rPr>
        <w:t>A financial instrument’s categorization within the fair value hierarchy as established by ASC 820, Fair value measurements and disclosure is based upon the lowest level of input that is significant to the fair value measurement. The established fair value hierarchy has three levels based on the reliability of the inputs used to measure fair value which include: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—Observable, market-based inputs, other than quoted prices, in active markets for identical assets or liabilities.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—Unobservable inputs to the valuation methodology that are significant to the measurement of the fair value of the assets or liabilities.</w:t>
      </w:r>
    </w:p>
    <w:p>
      <w:pPr>
        <w:spacing w:after="0" w:line="203" w:lineRule="exact"/>
        <w:rPr>
          <w:sz w:val="20"/>
          <w:szCs w:val="20"/>
          <w:color w:val="auto"/>
        </w:rPr>
      </w:pPr>
    </w:p>
    <w:p>
      <w:pPr>
        <w:jc w:val="both"/>
        <w:ind w:left="320"/>
        <w:spacing w:after="0" w:line="278" w:lineRule="auto"/>
        <w:rPr>
          <w:sz w:val="20"/>
          <w:szCs w:val="20"/>
          <w:color w:val="auto"/>
        </w:rPr>
      </w:pPr>
      <w:r>
        <w:rPr>
          <w:rFonts w:ascii="Times New Roman" w:cs="Times New Roman" w:eastAsia="Times New Roman" w:hAnsi="Times New Roman"/>
          <w:sz w:val="18"/>
          <w:szCs w:val="18"/>
          <w:color w:val="auto"/>
        </w:rPr>
        <w:t>The Group’s financial instruments include cash and cash equivalents, accounts receivable, note receivables, payables, related party receivables and related party receivables.</w:t>
      </w:r>
    </w:p>
    <w:p>
      <w:pPr>
        <w:spacing w:after="0" w:line="159"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Cash, cash equivalents</w:t>
      </w:r>
    </w:p>
    <w:p>
      <w:pPr>
        <w:spacing w:after="0" w:line="225" w:lineRule="exact"/>
        <w:rPr>
          <w:sz w:val="20"/>
          <w:szCs w:val="20"/>
          <w:color w:val="auto"/>
        </w:rPr>
      </w:pPr>
    </w:p>
    <w:p>
      <w:pPr>
        <w:jc w:val="both"/>
        <w:ind w:left="320" w:right="20"/>
        <w:spacing w:after="0" w:line="278" w:lineRule="auto"/>
        <w:rPr>
          <w:sz w:val="20"/>
          <w:szCs w:val="20"/>
          <w:color w:val="auto"/>
        </w:rPr>
      </w:pPr>
      <w:r>
        <w:rPr>
          <w:rFonts w:ascii="Times New Roman" w:cs="Times New Roman" w:eastAsia="Times New Roman" w:hAnsi="Times New Roman"/>
          <w:sz w:val="18"/>
          <w:szCs w:val="18"/>
          <w:color w:val="auto"/>
        </w:rPr>
        <w:t>Cash and cash equivalents consist of cash on hand, demand deposits and highly-liquid investments placed with banks, which are unrestricted as to withdrawal and use, and which have original maturities of three months or less.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Restricted Cash</w:t>
      </w:r>
    </w:p>
    <w:p>
      <w:pPr>
        <w:spacing w:after="0" w:line="225"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8"/>
          <w:szCs w:val="18"/>
          <w:color w:val="auto"/>
        </w:rPr>
        <w:t>Cash that is restricted as to withdrawal or is used or pledged as security is reported separately on the face of the Group’s consolidated balance sheets and is included in the total cash in the consolidated statements of cash flows. The Group’s restricted cash mainly represents security deposits held in designated bank accounts for performance of sales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Accounts receivable and allowance for doubtful accounts</w:t>
      </w:r>
    </w:p>
    <w:p>
      <w:pPr>
        <w:spacing w:after="0" w:line="225"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Accounts receivable mainly consist of amounts due from the Group’s customers, which are recorded net of allowance for doubtful accounts. The Group performs ongoing credit evaluations of its customers, and assesses allowance for doubtful accounts based on expected credit loss model on a portfolio basis. When specific customers are identified as no longer sharing the same risk profile as the current pool, they are removed from the pool and evaluated separately. Accounts receivable are written off when there is no reasonable expectation of recovery.</w:t>
      </w:r>
    </w:p>
    <w:p>
      <w:pPr>
        <w:spacing w:after="0" w:line="1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16510</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920"/>
          </w:cols>
          <w:pgMar w:left="640" w:top="684" w:right="339" w:bottom="1440" w:gutter="0" w:footer="0" w:header="0"/>
        </w:sectPr>
      </w:pPr>
    </w:p>
    <w:bookmarkStart w:id="11" w:name="page12"/>
    <w:bookmarkEnd w:id="11"/>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The Group elected to early adopt Accounting Standards Update (“ASU”) No. 2016-13, Financial Instruments — Credit Losses (Topic 326): Measurement of Credit Losses on Financial Instruments using the modified retrospective transition method from January 1, 2020. The Group has developed a current expected credit losses (“CECL”) model for class of customers, including our related parties, with similar risk characteristics based on historical experience, credit quality of its customers, current economic conditions and supportable forecasts of future economic conditions that may affect customers’ ability to pay. The cumulative effect from the adoption as of January 1, 2020 was immaterial to the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Contract Assets and Contract Liabilities</w:t>
      </w:r>
    </w:p>
    <w:p>
      <w:pPr>
        <w:spacing w:after="0" w:line="225"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8"/>
          <w:szCs w:val="18"/>
          <w:color w:val="auto"/>
        </w:rPr>
        <w:t>Projects with performance obligations recognized over time that have revenue recognized to date in excess of cumulative billings are reported on our consolidated balance sheets as “contract assets”. Provisions for estimated losses of contract assets on uncompleted contracts are made in the period in which such losses are determined.</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Contract assets having billing terms with the unconditional right to be billed beyond one year are classified as non-current assets.</w:t>
      </w:r>
    </w:p>
    <w:p>
      <w:pPr>
        <w:spacing w:after="0" w:line="221" w:lineRule="exact"/>
        <w:rPr>
          <w:sz w:val="20"/>
          <w:szCs w:val="20"/>
          <w:color w:val="auto"/>
        </w:rPr>
      </w:pPr>
    </w:p>
    <w:p>
      <w:pPr>
        <w:jc w:val="both"/>
        <w:ind w:left="320"/>
        <w:spacing w:after="0" w:line="278" w:lineRule="auto"/>
        <w:rPr>
          <w:sz w:val="20"/>
          <w:szCs w:val="20"/>
          <w:color w:val="auto"/>
        </w:rPr>
      </w:pPr>
      <w:r>
        <w:rPr>
          <w:rFonts w:ascii="Times New Roman" w:cs="Times New Roman" w:eastAsia="Times New Roman" w:hAnsi="Times New Roman"/>
          <w:sz w:val="18"/>
          <w:szCs w:val="18"/>
          <w:color w:val="auto"/>
        </w:rPr>
        <w:t>The condition required for a payment to be converted to an accounts receivable under service contract to provide engineering solutions of intelligent projects is that the customer agrees the work progress performed by the Group and accepts the invoice issued by the Group.</w:t>
      </w:r>
    </w:p>
    <w:p>
      <w:pPr>
        <w:spacing w:after="0" w:line="163" w:lineRule="exact"/>
        <w:rPr>
          <w:sz w:val="20"/>
          <w:szCs w:val="20"/>
          <w:color w:val="auto"/>
        </w:rPr>
      </w:pPr>
    </w:p>
    <w:p>
      <w:pPr>
        <w:jc w:val="both"/>
        <w:ind w:left="320"/>
        <w:spacing w:after="0" w:line="278" w:lineRule="auto"/>
        <w:rPr>
          <w:sz w:val="20"/>
          <w:szCs w:val="20"/>
          <w:color w:val="auto"/>
        </w:rPr>
      </w:pPr>
      <w:r>
        <w:rPr>
          <w:rFonts w:ascii="Times New Roman" w:cs="Times New Roman" w:eastAsia="Times New Roman" w:hAnsi="Times New Roman"/>
          <w:sz w:val="18"/>
          <w:szCs w:val="18"/>
          <w:color w:val="auto"/>
        </w:rPr>
        <w:t>The time frame for a contract asset to be reclassified to a receivable (or consideration from customer becomes unconditional) is between 6 months to 36 months.</w:t>
      </w:r>
    </w:p>
    <w:p>
      <w:pPr>
        <w:spacing w:after="0" w:line="163"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8"/>
          <w:szCs w:val="18"/>
          <w:color w:val="auto"/>
        </w:rPr>
        <w:t>Contract liabilities on uncompleted contracts represent the amounts of cash collected from clients, billings to clients on contracts in advance of work performed and revenue recognized. Contract assets and liabilities are reported in a net position on a contract-by-contract basis at the end of each reporting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Deferred Offering Costs</w:t>
      </w:r>
    </w:p>
    <w:p>
      <w:pPr>
        <w:spacing w:after="0" w:line="225"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IPO. These costs, together with the underwriting discounts and commissions, will be charged to permanent equity upon completion of the IPO. Should the IPO prove to be unsuccessful, these deferred costs, as well as additional expenses to be incurred, will be charged to expenses. As of September 30, 2024 and March 31, 2025, the Company has incurred RMB4,933,304 and RMB6,102,442 of deferred offering costs, respectively.</w:t>
      </w:r>
    </w:p>
    <w:p>
      <w:pPr>
        <w:spacing w:after="0" w:line="182"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8"/>
          <w:szCs w:val="18"/>
          <w:color w:val="auto"/>
        </w:rPr>
        <w:t>Revenues of the Group are primarily derived from providing engineering solutions of intelligent projects, operation and maintenance of intelligent projects, and sales of equipment and materials of intelligent systems.The Group applies ASU 2014-09, Revenue from Contracts with Customers — Topic 606 (“ASC 606”) for its revenue recognition for all periods presented.</w:t>
      </w:r>
    </w:p>
    <w:p>
      <w:pPr>
        <w:spacing w:after="0" w:line="176" w:lineRule="exact"/>
        <w:rPr>
          <w:sz w:val="20"/>
          <w:szCs w:val="20"/>
          <w:color w:val="auto"/>
        </w:rPr>
      </w:pPr>
    </w:p>
    <w:p>
      <w:pPr>
        <w:jc w:val="both"/>
        <w:ind w:left="320"/>
        <w:spacing w:after="0" w:line="263" w:lineRule="auto"/>
        <w:rPr>
          <w:sz w:val="20"/>
          <w:szCs w:val="20"/>
          <w:color w:val="auto"/>
        </w:rPr>
      </w:pPr>
      <w:r>
        <w:rPr>
          <w:rFonts w:ascii="Times New Roman" w:cs="Times New Roman" w:eastAsia="Times New Roman" w:hAnsi="Times New Roman"/>
          <w:sz w:val="18"/>
          <w:szCs w:val="18"/>
          <w:color w:val="auto"/>
        </w:rPr>
        <w:t>Revenue is recognized when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176" w:lineRule="exact"/>
        <w:rPr>
          <w:sz w:val="20"/>
          <w:szCs w:val="20"/>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benefits received and consumed simultaneously by the customer;</w:t>
      </w:r>
    </w:p>
    <w:p>
      <w:pPr>
        <w:spacing w:after="0" w:line="2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and enhances an asset that the customer controls as the Group performs; or</w:t>
      </w:r>
    </w:p>
    <w:p>
      <w:pPr>
        <w:spacing w:after="0" w:line="7"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the Group and the Group has an enforceable right to payment for performance</w:t>
      </w:r>
    </w:p>
    <w:p>
      <w:pPr>
        <w:spacing w:after="0" w:line="203" w:lineRule="exact"/>
        <w:rPr>
          <w:sz w:val="20"/>
          <w:szCs w:val="20"/>
          <w:color w:val="auto"/>
        </w:rPr>
      </w:pPr>
    </w:p>
    <w:p>
      <w:pPr>
        <w:ind w:left="320"/>
        <w:spacing w:after="0" w:line="278" w:lineRule="auto"/>
        <w:rPr>
          <w:sz w:val="20"/>
          <w:szCs w:val="20"/>
          <w:color w:val="auto"/>
        </w:rPr>
      </w:pPr>
      <w:r>
        <w:rPr>
          <w:rFonts w:ascii="Times New Roman" w:cs="Times New Roman" w:eastAsia="Times New Roman" w:hAnsi="Times New Roman"/>
          <w:sz w:val="18"/>
          <w:szCs w:val="18"/>
          <w:color w:val="auto"/>
        </w:rPr>
        <w:t>The Group accounts for a contract with a customer when the contract is committed in writing, the rights of the parties, including payment terms, are identified, the contract has commercial substance and consideration to collect is substantially probable.</w:t>
      </w:r>
    </w:p>
    <w:p>
      <w:pPr>
        <w:spacing w:after="0" w:line="1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16510</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920"/>
          </w:cols>
          <w:pgMar w:left="640" w:top="684"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before the Group transfers a good or service to the customer, the Group presents a contract liability when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steams are as follows: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Service to provide engineering solutions of intelligent projects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 relating to providing engineering solutions of intelligent projects are generally recognized based on the Group’s efforts or inputs to the satisfaction of its performance obligation over time as work progresses because of the continuous transfer of control to the customer and the Group has the right to bill the customer as costs are incurred. Typically, revenue is recognized over time using an input measure (i.e., costs incurred to date relative to total estimated costs at completion) to measure progress. The Group generally uses the cost-to-cost measure of progress method because it best depicts the transfer of control to the customer which occurs as the Group incurs costs on its contracts. Under the cost-to-cost measure of progress method, the extent of progress towards completion is measured based on the ratio of total costs incurred to date to the total estimated costs at completion of the performance obligation. Revenues, including estimated fees or profits, are recorded proportionally as costs are incurred. Any expected losses on this type of contracts in progress are charged to operations, in total, in the period the losses are identified.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Group’s contract with the customer has payment terms specified based upon certain conditions. The payment terms usually include, but are not limited to, the following billing stages: 1) signing of the sales contract, 2) quarterly or monthly payment based on progress report agreed by the customer; 3) completion and acceptance of the project, and 4) completion of guarantee period, normally 24 months after completion. As the Group’s customers are required to pay the Group at different billing stages over the contract period, as such, the Group believes the progress payments limit the Group’s exposure to credit risk and the Group would be able to collect substantially all of the consideration gradually at different stages.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timing of the satisfaction of our performance obligations is based upon the cost-to-cost measure of progress method, which is generally different than the timing of unconditional right of payment, and is based upon certain conditions completed as specified in the contract. The timing between the satisfaction of our performance obligations and the unconditional right to payment would contribute to contract assets and contract liabilities.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Cost based input methods of revenue recognition require the Group to make estimates of costs to complete its projects. In making such estimates, significant judgment is required to evaluate assumptions related to the costs to complete its projects, including materials, labor, and other costs. The estimate of unit material costs are reviewed and updated on a quarterly basis, based on the updated information available in the supply markets. The estimate of material quantities to be used for completion is also reviewed and updated on a quarterly basis, based on the updated information on the progress of project execution. If the estimated total costs on any contract, including any inefficient costs, are greater than the net contract revenues, the Group recognizes the entire estimated loss in the period the loss becomes known. The cumulative effect of revisions to estimates related to net contract revenues or costs to complete contracts are recorded in the period in which the revisions to estimates are identified and the amounts can be reasonably estimated.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no obligations for returns, refunds or similar obligations for services to provide engineering solutions of intelligent projects,.</w:t>
      </w:r>
    </w:p>
    <w:p>
      <w:pPr>
        <w:spacing w:after="0" w:line="22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the performance obligations for engineering solution service that are partially unsatisfied was RMB12,830,146 which is expected to recognize as revenue within 60 months as of March 31, 2025 using an input measure method for the for the engineering solution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Service to provide operation and maintenance of intelligent projects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Revenue from maintenance type of contracts requires the Group to render routine maintenance on the customers’ various intellectualized systems during the contracted periods, which is generally between one to four years. Revenue generated from services of operation and maintenance of intelligent projects is recognized over the coverage period on a straight-line basis.</w:t>
      </w:r>
    </w:p>
    <w:p>
      <w:pPr>
        <w:spacing w:after="0" w:line="1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16510</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600"/>
          </w:cols>
          <w:pgMar w:left="960" w:top="684" w:right="339" w:bottom="1440" w:gutter="0" w:footer="0" w:header="0"/>
        </w:sectPr>
      </w:pPr>
    </w:p>
    <w:bookmarkStart w:id="13" w:name="page14"/>
    <w:bookmarkEnd w:id="13"/>
    <w:p>
      <w:pPr>
        <w:ind w:left="400" w:right="20"/>
        <w:spacing w:after="0" w:line="278" w:lineRule="auto"/>
        <w:rPr>
          <w:sz w:val="20"/>
          <w:szCs w:val="20"/>
          <w:color w:val="auto"/>
        </w:rPr>
      </w:pPr>
      <w:r>
        <w:rPr>
          <w:rFonts w:ascii="Times New Roman" w:cs="Times New Roman" w:eastAsia="Times New Roman" w:hAnsi="Times New Roman"/>
          <w:sz w:val="18"/>
          <w:szCs w:val="18"/>
          <w:color w:val="auto"/>
        </w:rPr>
        <w:t>As of March 31, 2025, the Group had system maintenance revenue amounting to RMB15,088,144 which is expected to be recognized within 36 months from March 31, 2025, all on a straight-line basis.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iii) Sales of equipment and materials of intelligent systems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Group generates revenue from sales of equipment and materials of intelligent systems.</w:t>
      </w:r>
    </w:p>
    <w:p>
      <w:pPr>
        <w:spacing w:after="0" w:line="221" w:lineRule="exact"/>
        <w:rPr>
          <w:sz w:val="20"/>
          <w:szCs w:val="20"/>
          <w:color w:val="auto"/>
        </w:rPr>
      </w:pPr>
    </w:p>
    <w:p>
      <w:pPr>
        <w:ind w:left="320"/>
        <w:spacing w:after="0" w:line="278" w:lineRule="auto"/>
        <w:rPr>
          <w:sz w:val="20"/>
          <w:szCs w:val="20"/>
          <w:color w:val="auto"/>
        </w:rPr>
      </w:pPr>
      <w:r>
        <w:rPr>
          <w:rFonts w:ascii="Times New Roman" w:cs="Times New Roman" w:eastAsia="Times New Roman" w:hAnsi="Times New Roman"/>
          <w:sz w:val="18"/>
          <w:szCs w:val="18"/>
          <w:color w:val="auto"/>
        </w:rPr>
        <w:t>Product sales generally require customer acceptance. Thus, the revenue is recognized at point in time upon customer acceptance after goods are delivered to the customers. No product warranty is provided to customers under this type of sales contracts.</w:t>
      </w:r>
    </w:p>
    <w:p>
      <w:pPr>
        <w:spacing w:after="0" w:line="159"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Taxation</w:t>
      </w:r>
    </w:p>
    <w:p>
      <w:pPr>
        <w:spacing w:after="0" w:line="22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89"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any uncertain tax positions as of March 31, 2025.</w:t>
      </w:r>
    </w:p>
    <w:p>
      <w:pPr>
        <w:spacing w:after="0" w:line="17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223" w:lineRule="exact"/>
        <w:rPr>
          <w:rFonts w:ascii="Times New Roman" w:cs="Times New Roman" w:eastAsia="Times New Roman" w:hAnsi="Times New Roman"/>
          <w:sz w:val="18"/>
          <w:szCs w:val="18"/>
          <w:b w:val="1"/>
          <w:bCs w:val="1"/>
          <w:color w:val="auto"/>
        </w:rPr>
      </w:pPr>
    </w:p>
    <w:p>
      <w:pPr>
        <w:jc w:val="both"/>
        <w:ind w:left="3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Group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on January 1, 2019, using the modified retrospective transition method and adopted the package of practical expedients, which allowed the Group to (1) not reassess whether existing contracts contain leases, (2) carry forward the existing lease classification, and (3) not reassess initial direct costs associated with existing leases. Upon adoption of ASC 842, the Group elected to use the remaining lease term as of January 1, 2019 in estimation of the applicable discount rate for leases that were in place at adoption.</w:t>
      </w:r>
    </w:p>
    <w:p>
      <w:pPr>
        <w:spacing w:after="0" w:line="179" w:lineRule="exact"/>
        <w:rPr>
          <w:rFonts w:ascii="Times New Roman" w:cs="Times New Roman" w:eastAsia="Times New Roman" w:hAnsi="Times New Roman"/>
          <w:sz w:val="18"/>
          <w:szCs w:val="18"/>
          <w:b w:val="1"/>
          <w:bCs w:val="1"/>
          <w:color w:val="auto"/>
        </w:rPr>
      </w:pPr>
    </w:p>
    <w:p>
      <w:pPr>
        <w:jc w:val="both"/>
        <w:ind w:left="3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evaluating whether an agreement constitute a lease upon adoption of ASC 842, the Group reviews the contractual terms to determine which party obtains both the economic benefits and control of the assets at the inception of the contract. The Group categorizes leases with contractual terms longer than twelve months as either operating or finance lease at the commencement date of a lease. All the leases of the group are operating leases. The Group also elected the short-term lease exemption for all contracts with an original lease term of 12 months or less. Lease payments on short-term leases are recognized as an expense on a straight-line basis over the lease term, not included in lease liabilities. The Group’s lease agreements do not contain any significant residual value guarantees or restricted covenants.</w:t>
      </w:r>
    </w:p>
    <w:p>
      <w:pPr>
        <w:spacing w:after="0" w:line="185" w:lineRule="exact"/>
        <w:rPr>
          <w:rFonts w:ascii="Times New Roman" w:cs="Times New Roman" w:eastAsia="Times New Roman" w:hAnsi="Times New Roman"/>
          <w:sz w:val="18"/>
          <w:szCs w:val="18"/>
          <w:b w:val="1"/>
          <w:bCs w:val="1"/>
          <w:color w:val="auto"/>
        </w:rPr>
      </w:pPr>
    </w:p>
    <w:p>
      <w:pPr>
        <w:jc w:val="both"/>
        <w:ind w:left="3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Right of sue (“ROU”) assets represent the Group’s right to use an underlying asset for the lease term and lease liabilities represent the Group’s obligation to make lease payments arising from the lease. ROU assets are recognized as the amount of the lease liability, adjusted for lease incentives received. Lease liabilities are recognized at the present value of the future lease payments at the lease commencement date. The discount rate used to determine the present value of the future lease payments is the Group’s incremental borrowing rate (“IBR”) or the rate implicit in the lease if available. The IBR is a hypothetical rate based on the Group’s understanding of what its credit rating would be to borrow and resulting interest the Group would pay to borrow an amount equal to the lease payments in a similar economic environment over the lease term on a collateralized basis. Lease payments may be fixed or variable, however, only fixed payments or in substance fixed payments are included in the Group’s lease liability calculation. Variable lease payments are recognized in operating expenses in the period in which the obligation for those payments are incurred.</w:t>
      </w:r>
    </w:p>
    <w:p>
      <w:pPr>
        <w:spacing w:after="0" w:line="1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16510</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920"/>
          </w:cols>
          <w:pgMar w:left="640" w:top="684" w:right="339" w:bottom="1440" w:gutter="0" w:footer="0" w:header="0"/>
        </w:sectPr>
      </w:pPr>
    </w:p>
    <w:bookmarkStart w:id="14" w:name="page15"/>
    <w:bookmarkEnd w:id="14"/>
    <w:p>
      <w:pPr>
        <w:ind w:left="600" w:hanging="272"/>
        <w:spacing w:after="0"/>
        <w:tabs>
          <w:tab w:leader="none" w:pos="6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per share</w:t>
      </w:r>
    </w:p>
    <w:p>
      <w:pPr>
        <w:spacing w:after="0" w:line="225"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8"/>
          <w:szCs w:val="18"/>
          <w:color w:val="auto"/>
        </w:rPr>
        <w:t>Basic income per share is computed by dividing net income attributable to the holders of shares by the weighted average number of shares outstanding during the year.</w:t>
      </w:r>
    </w:p>
    <w:p>
      <w:pPr>
        <w:spacing w:after="0" w:line="163" w:lineRule="exact"/>
        <w:rPr>
          <w:sz w:val="20"/>
          <w:szCs w:val="20"/>
          <w:color w:val="auto"/>
        </w:rPr>
      </w:pPr>
    </w:p>
    <w:p>
      <w:pPr>
        <w:ind w:left="640" w:right="20"/>
        <w:spacing w:after="0" w:line="278" w:lineRule="auto"/>
        <w:rPr>
          <w:sz w:val="20"/>
          <w:szCs w:val="20"/>
          <w:color w:val="auto"/>
        </w:rPr>
      </w:pPr>
      <w:r>
        <w:rPr>
          <w:rFonts w:ascii="Times New Roman" w:cs="Times New Roman" w:eastAsia="Times New Roman" w:hAnsi="Times New Roman"/>
          <w:sz w:val="18"/>
          <w:szCs w:val="18"/>
          <w:color w:val="auto"/>
        </w:rPr>
        <w:t>Diluted earnings per share reflect the potential dilution that could occur if securities or other contracts to issue ordinary shares were exercised or converted into ordinary shares.</w:t>
      </w:r>
    </w:p>
    <w:p>
      <w:pPr>
        <w:spacing w:after="0" w:line="159" w:lineRule="exact"/>
        <w:rPr>
          <w:sz w:val="20"/>
          <w:szCs w:val="20"/>
          <w:color w:val="auto"/>
        </w:rPr>
      </w:pPr>
    </w:p>
    <w:p>
      <w:pPr>
        <w:ind w:left="580" w:hanging="252"/>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Comprehensive income</w:t>
      </w:r>
    </w:p>
    <w:p>
      <w:pPr>
        <w:spacing w:after="0" w:line="225"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8"/>
          <w:szCs w:val="18"/>
          <w:color w:val="auto"/>
        </w:rPr>
        <w:t>Comprehensive income is defined to include all changes in equity of the Group during a period arising from transactions and other events and circumstances excluding transactions resulting from investments by shareholders and distributions to shareholders. Accumulated other comprehensive income, as presented in the consolidated balance sheets, consists of accumulated foreign currency translation adjustments.</w:t>
      </w:r>
    </w:p>
    <w:p>
      <w:pPr>
        <w:spacing w:after="0" w:line="172"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Recently issued accounting pronouncements not yet adopted</w:t>
      </w:r>
    </w:p>
    <w:p>
      <w:pPr>
        <w:spacing w:after="0" w:line="221" w:lineRule="exact"/>
        <w:rPr>
          <w:sz w:val="20"/>
          <w:szCs w:val="20"/>
          <w:color w:val="auto"/>
        </w:rPr>
      </w:pPr>
    </w:p>
    <w:p>
      <w:pPr>
        <w:jc w:val="both"/>
        <w:ind w:left="640"/>
        <w:spacing w:after="0" w:line="272"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The amendments in this update intend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expenses, and research and development). ASU 2024-03 is effective for fiscal years beginning after December 15, 2026, and interim periods beginning after December 15, 2027. The Group is currently evaluating the impact from the adoption of this ASU on its consolidated financial statements.</w:t>
      </w:r>
    </w:p>
    <w:p>
      <w:pPr>
        <w:spacing w:after="0" w:line="17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update expands disclosures related to income taxes, including enhanced information about the rate reconciliation and income taxes paid. ASU 2023-09 is effective for annual periods beginning after December 15, 2024. Early adoption is permitted. The Group is currently evaluating the impact from the adoption of this ASU on its consolidated financial statements.</w:t>
      </w:r>
    </w:p>
    <w:p>
      <w:pPr>
        <w:spacing w:after="0" w:line="177" w:lineRule="exact"/>
        <w:rPr>
          <w:sz w:val="20"/>
          <w:szCs w:val="20"/>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and risks</w:t>
      </w:r>
    </w:p>
    <w:p>
      <w:pPr>
        <w:spacing w:after="0" w:line="22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Concentration of credit risk</w:t>
      </w:r>
    </w:p>
    <w:p>
      <w:pPr>
        <w:spacing w:after="0" w:line="225"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Assets that potentially subject the Group to significant concentrations of credit risk primarily consist of cash and cash equivalents, restricted cash, accounts receivable and amounts due from related parties. The maximum exposure of such assets to credit risk is their carrying amounts as of the balance sheet dates. All of the Group’s cash and cash equivalents and restricted cash are held with financial institutions that Group’s management believes to be high credit quality.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Concentration of customers: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customers accounted for 10% or more of revenue for the six months ended March 31, 2024 and 2025:</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237"/>
        </w:trPr>
        <w:tc>
          <w:tcPr>
            <w:tcW w:w="6500" w:type="dxa"/>
            <w:vAlign w:val="bottom"/>
          </w:tcPr>
          <w:p>
            <w:pPr>
              <w:spacing w:after="0"/>
              <w:rPr>
                <w:sz w:val="20"/>
                <w:szCs w:val="20"/>
                <w:color w:val="auto"/>
              </w:rPr>
            </w:pPr>
          </w:p>
        </w:tc>
        <w:tc>
          <w:tcPr>
            <w:tcW w:w="396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r>
      <w:tr>
        <w:trPr>
          <w:trHeight w:val="221"/>
        </w:trPr>
        <w:tc>
          <w:tcPr>
            <w:tcW w:w="65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8"/>
        </w:trPr>
        <w:tc>
          <w:tcPr>
            <w:tcW w:w="65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76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4"/>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43,320,274</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42,257,767</w:t>
            </w: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3,476,508</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10,051,313</w:t>
            </w:r>
          </w:p>
        </w:tc>
      </w:tr>
      <w:tr>
        <w:trPr>
          <w:trHeight w:val="214"/>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16,651,004</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34,440,743</w:t>
            </w:r>
          </w:p>
        </w:tc>
      </w:tr>
    </w:tbl>
    <w:p>
      <w:pPr>
        <w:spacing w:after="0" w:line="196"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8"/>
          <w:szCs w:val="18"/>
          <w:color w:val="auto"/>
        </w:rPr>
        <w:t>The following customers accounted for 10% or more of the Group’s accounts receivable and amounts due from related parties as of September 30, 2024 and March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18"/>
                <w:szCs w:val="18"/>
                <w:color w:val="auto"/>
              </w:rPr>
            </w:pPr>
          </w:p>
        </w:tc>
      </w:tr>
      <w:tr>
        <w:trPr>
          <w:trHeight w:val="237"/>
        </w:trPr>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40" w:type="dxa"/>
            <w:vAlign w:val="bottom"/>
          </w:tcPr>
          <w:p>
            <w:pPr>
              <w:spacing w:after="0"/>
              <w:rPr>
                <w:sz w:val="20"/>
                <w:szCs w:val="20"/>
                <w:color w:val="auto"/>
              </w:rPr>
            </w:pPr>
          </w:p>
        </w:tc>
      </w:tr>
      <w:tr>
        <w:trPr>
          <w:trHeight w:val="208"/>
        </w:trPr>
        <w:tc>
          <w:tcPr>
            <w:tcW w:w="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6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5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4,525,495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3,826,469</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6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5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7,055,869</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6,706,071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6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1,748,863</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1,748,863</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3"/>
        </w:trPr>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55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3,177,983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6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3"/>
          </w:tcPr>
          <w:p>
            <w:pPr>
              <w:ind w:left="1960"/>
              <w:spacing w:after="0"/>
              <w:rPr>
                <w:sz w:val="20"/>
                <w:szCs w:val="20"/>
                <w:color w:val="auto"/>
              </w:rPr>
            </w:pPr>
            <w:r>
              <w:rPr>
                <w:rFonts w:ascii="Times New Roman" w:cs="Times New Roman" w:eastAsia="Times New Roman" w:hAnsi="Times New Roman"/>
                <w:sz w:val="18"/>
                <w:szCs w:val="18"/>
                <w:color w:val="auto"/>
              </w:rPr>
              <w:t>II-11</w:t>
            </w:r>
          </w:p>
        </w:tc>
        <w:tc>
          <w:tcPr>
            <w:tcW w:w="1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0"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 Concentration of suppliers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Below suppliers represent more than 10% of the Group’s total purchases for the six months ended March 31, 2024 and 2025:</w:t>
      </w:r>
    </w:p>
    <w:p>
      <w:pPr>
        <w:spacing w:after="0" w:line="2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p>
      <w:pPr>
        <w:spacing w:after="0" w:line="30" w:lineRule="exact"/>
        <w:rPr>
          <w:sz w:val="20"/>
          <w:szCs w:val="20"/>
          <w:color w:val="auto"/>
        </w:rPr>
      </w:pPr>
    </w:p>
    <w:tbl>
      <w:tblPr>
        <w:tblLayout w:type="fixed"/>
        <w:tblInd w:w="640" w:type="dxa"/>
        <w:tblCellMar>
          <w:top w:w="0" w:type="dxa"/>
          <w:left w:w="0" w:type="dxa"/>
          <w:bottom w:w="0" w:type="dxa"/>
          <w:right w:w="0" w:type="dxa"/>
        </w:tblCellMar>
      </w:tblPr>
      <w:tr>
        <w:trPr>
          <w:trHeight w:val="221"/>
        </w:trPr>
        <w:tc>
          <w:tcPr>
            <w:tcW w:w="650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8"/>
        </w:trPr>
        <w:tc>
          <w:tcPr>
            <w:tcW w:w="6500" w:type="dxa"/>
            <w:vAlign w:val="bottom"/>
          </w:tcPr>
          <w:p>
            <w:pPr>
              <w:spacing w:after="0"/>
              <w:rPr>
                <w:sz w:val="18"/>
                <w:szCs w:val="18"/>
                <w:color w:val="auto"/>
              </w:rPr>
            </w:pPr>
          </w:p>
        </w:tc>
        <w:tc>
          <w:tcPr>
            <w:tcW w:w="14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4"/>
        </w:trPr>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A</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18,600,197</w:t>
            </w:r>
          </w:p>
        </w:tc>
      </w:tr>
      <w:tr>
        <w:trPr>
          <w:trHeight w:val="214"/>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B</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10,377,124</w:t>
            </w:r>
          </w:p>
        </w:tc>
      </w:tr>
      <w:tr>
        <w:trPr>
          <w:trHeight w:val="214"/>
        </w:trPr>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C</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7,641,441</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Represents less than 10%</w:t>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 Foreign currency risk</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Currency convertibility risk</w:t>
      </w:r>
    </w:p>
    <w:p>
      <w:pPr>
        <w:spacing w:after="0" w:line="223"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RMB is not a freely convertible currency. The State Administration for Foreign Exchange, under the authority of the People’s Bank of China, regulates the conversion of RMB into other currencies. The value of the RMB is subject to changes in central government policies, international economic and political developments affecting supply and demand in the China Foreign Exchange Trading System market. As of September 30, 2024 and March 31, 2025, the Group has cash and cash equivalents and time deposits that are denominated in US$, totaling US$3,513 and, US$3,514 as of September 30, 2024 and March 31, 2025, respectively.</w:t>
      </w:r>
    </w:p>
    <w:p>
      <w:pPr>
        <w:spacing w:after="0" w:line="182" w:lineRule="exact"/>
        <w:rPr>
          <w:sz w:val="20"/>
          <w:szCs w:val="20"/>
          <w:color w:val="auto"/>
        </w:rPr>
      </w:pPr>
    </w:p>
    <w:p>
      <w:pPr>
        <w:ind w:left="320" w:hanging="313"/>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Accounts receivable and allowance for doubtful accounts as of September 30, 2024 and March 31, 2025 are as follows: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060" w:type="dxa"/>
            <w:vAlign w:val="bottom"/>
          </w:tcPr>
          <w:p>
            <w:pPr>
              <w:spacing w:after="0"/>
              <w:rPr>
                <w:sz w:val="18"/>
                <w:szCs w:val="18"/>
                <w:color w:val="auto"/>
              </w:rPr>
            </w:pPr>
          </w:p>
        </w:tc>
        <w:tc>
          <w:tcPr>
            <w:tcW w:w="230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7"/>
        </w:trPr>
        <w:tc>
          <w:tcPr>
            <w:tcW w:w="6060" w:type="dxa"/>
            <w:vAlign w:val="bottom"/>
          </w:tcPr>
          <w:p>
            <w:pPr>
              <w:spacing w:after="0"/>
              <w:rPr>
                <w:sz w:val="20"/>
                <w:szCs w:val="20"/>
                <w:color w:val="auto"/>
              </w:rPr>
            </w:pPr>
          </w:p>
        </w:tc>
        <w:tc>
          <w:tcPr>
            <w:tcW w:w="2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8"/>
        </w:trPr>
        <w:tc>
          <w:tcPr>
            <w:tcW w:w="6060" w:type="dxa"/>
            <w:vAlign w:val="bottom"/>
          </w:tcPr>
          <w:p>
            <w:pPr>
              <w:spacing w:after="0"/>
              <w:rPr>
                <w:sz w:val="18"/>
                <w:szCs w:val="18"/>
                <w:color w:val="auto"/>
              </w:rPr>
            </w:pPr>
          </w:p>
        </w:tc>
        <w:tc>
          <w:tcPr>
            <w:tcW w:w="198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98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13,318,276</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17,792,273</w:t>
            </w: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(641,101)</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(738,023)</w:t>
            </w:r>
          </w:p>
        </w:tc>
      </w:tr>
      <w:tr>
        <w:trPr>
          <w:trHeight w:val="22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Accounts receivable, net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12,677,175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17,054,250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8"/>
          <w:szCs w:val="18"/>
          <w:color w:val="auto"/>
        </w:rPr>
        <w:t>The roll-forward of the allowance for doubtful accounts related to accounts receivable for the year ended September 30, 2024 and for the six months ended March 31, 2025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6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For the six months ended</w:t>
            </w:r>
          </w:p>
        </w:tc>
        <w:tc>
          <w:tcPr>
            <w:tcW w:w="140" w:type="dxa"/>
            <w:vAlign w:val="bottom"/>
          </w:tcPr>
          <w:p>
            <w:pPr>
              <w:spacing w:after="0"/>
              <w:rPr>
                <w:sz w:val="18"/>
                <w:szCs w:val="18"/>
                <w:color w:val="auto"/>
              </w:rPr>
            </w:pPr>
          </w:p>
        </w:tc>
      </w:tr>
      <w:tr>
        <w:trPr>
          <w:trHeight w:val="237"/>
        </w:trPr>
        <w:tc>
          <w:tcPr>
            <w:tcW w:w="6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r>
      <w:tr>
        <w:trPr>
          <w:trHeight w:val="208"/>
        </w:trPr>
        <w:tc>
          <w:tcPr>
            <w:tcW w:w="6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98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6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year</w:t>
            </w:r>
          </w:p>
        </w:tc>
        <w:tc>
          <w:tcPr>
            <w:tcW w:w="3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1,271,180</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641,101</w:t>
            </w:r>
          </w:p>
        </w:tc>
        <w:tc>
          <w:tcPr>
            <w:tcW w:w="140" w:type="dxa"/>
            <w:vAlign w:val="bottom"/>
          </w:tcPr>
          <w:p>
            <w:pPr>
              <w:spacing w:after="0"/>
              <w:rPr>
                <w:sz w:val="18"/>
                <w:szCs w:val="18"/>
                <w:color w:val="auto"/>
              </w:rPr>
            </w:pPr>
          </w:p>
        </w:tc>
      </w:tr>
      <w:tr>
        <w:trPr>
          <w:trHeight w:val="228"/>
        </w:trPr>
        <w:tc>
          <w:tcPr>
            <w:tcW w:w="6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(Reversal) provision of allowance for doubtful accounts</w:t>
            </w:r>
          </w:p>
        </w:tc>
        <w:tc>
          <w:tcPr>
            <w:tcW w:w="3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(630,079)</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96,922</w:t>
            </w:r>
          </w:p>
        </w:tc>
        <w:tc>
          <w:tcPr>
            <w:tcW w:w="140" w:type="dxa"/>
            <w:vAlign w:val="bottom"/>
          </w:tcPr>
          <w:p>
            <w:pPr>
              <w:spacing w:after="0"/>
              <w:rPr>
                <w:sz w:val="19"/>
                <w:szCs w:val="19"/>
                <w:color w:val="auto"/>
              </w:rPr>
            </w:pPr>
          </w:p>
        </w:tc>
      </w:tr>
      <w:tr>
        <w:trPr>
          <w:trHeight w:val="221"/>
        </w:trPr>
        <w:tc>
          <w:tcPr>
            <w:tcW w:w="64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 of the year/period</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641,101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738,023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9"/>
        </w:trPr>
        <w:tc>
          <w:tcPr>
            <w:tcW w:w="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3"/>
          </w:tcPr>
          <w:p>
            <w:pPr>
              <w:jc w:val="right"/>
              <w:ind w:right="3200"/>
              <w:spacing w:after="0"/>
              <w:rPr>
                <w:sz w:val="20"/>
                <w:szCs w:val="20"/>
                <w:color w:val="auto"/>
              </w:rPr>
            </w:pPr>
            <w:r>
              <w:rPr>
                <w:rFonts w:ascii="Times New Roman" w:cs="Times New Roman" w:eastAsia="Times New Roman" w:hAnsi="Times New Roman"/>
                <w:sz w:val="18"/>
                <w:szCs w:val="18"/>
                <w:color w:val="auto"/>
              </w:rPr>
              <w:t>II-12</w:t>
            </w:r>
          </w:p>
        </w:tc>
        <w:tc>
          <w:tcPr>
            <w:tcW w:w="1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0" w:right="339" w:bottom="1440" w:gutter="0" w:footer="0" w:header="0"/>
        </w:sectPr>
      </w:pPr>
    </w:p>
    <w:bookmarkStart w:id="16" w:name="page17"/>
    <w:bookmarkEnd w:id="16"/>
    <w:p>
      <w:pPr>
        <w:ind w:left="320" w:hanging="313"/>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 AND CONTRACT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Contract assets – current,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-119380</wp:posOffset>
            </wp:positionV>
            <wp:extent cx="6631940" cy="135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Revenue recognized in excess of amounts paid or billed (account receivable) to</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Group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4445</wp:posOffset>
            </wp:positionV>
            <wp:extent cx="6631940" cy="135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Retention receivables</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Less: allowance for credit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4445</wp:posOffset>
            </wp:positionV>
            <wp:extent cx="6631940" cy="161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31940" cy="16129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Contract assets – non- current,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16510</wp:posOffset>
            </wp:positionV>
            <wp:extent cx="6631940" cy="135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Retention receivables</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Less: allowance for credit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12700</wp:posOffset>
            </wp:positionV>
            <wp:extent cx="6631940" cy="161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1940"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30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7"/>
        </w:trPr>
        <w:tc>
          <w:tcPr>
            <w:tcW w:w="2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30"/>
        </w:trPr>
        <w:tc>
          <w:tcPr>
            <w:tcW w:w="198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20"/>
                <w:szCs w:val="20"/>
                <w:color w:val="auto"/>
              </w:rPr>
            </w:pPr>
          </w:p>
        </w:tc>
        <w:tc>
          <w:tcPr>
            <w:tcW w:w="198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RMB</w:t>
            </w:r>
          </w:p>
        </w:tc>
        <w:tc>
          <w:tcPr>
            <w:tcW w:w="60" w:type="dxa"/>
            <w:vAlign w:val="bottom"/>
          </w:tcPr>
          <w:p>
            <w:pPr>
              <w:spacing w:after="0"/>
              <w:rPr>
                <w:sz w:val="20"/>
                <w:szCs w:val="20"/>
                <w:color w:val="auto"/>
              </w:rPr>
            </w:pPr>
          </w:p>
        </w:tc>
      </w:tr>
      <w:tr>
        <w:trPr>
          <w:trHeight w:val="602"/>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125,144,653</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143,899,869</w:t>
            </w:r>
          </w:p>
        </w:tc>
        <w:tc>
          <w:tcPr>
            <w:tcW w:w="60" w:type="dxa"/>
            <w:vAlign w:val="bottom"/>
          </w:tcPr>
          <w:p>
            <w:pPr>
              <w:spacing w:after="0"/>
              <w:rPr>
                <w:sz w:val="24"/>
                <w:szCs w:val="24"/>
                <w:color w:val="auto"/>
              </w:rPr>
            </w:pPr>
          </w:p>
        </w:tc>
      </w:tr>
      <w:tr>
        <w:trPr>
          <w:trHeight w:val="214"/>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226,996</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2,337,851</w:t>
            </w:r>
          </w:p>
        </w:tc>
        <w:tc>
          <w:tcPr>
            <w:tcW w:w="60" w:type="dxa"/>
            <w:vAlign w:val="bottom"/>
          </w:tcPr>
          <w:p>
            <w:pPr>
              <w:spacing w:after="0"/>
              <w:rPr>
                <w:sz w:val="18"/>
                <w:szCs w:val="18"/>
                <w:color w:val="auto"/>
              </w:rPr>
            </w:pPr>
          </w:p>
        </w:tc>
      </w:tr>
      <w:tr>
        <w:trPr>
          <w:trHeight w:val="233"/>
        </w:trPr>
        <w:tc>
          <w:tcPr>
            <w:tcW w:w="2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(2,292,498)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(2,604,481)</w:t>
            </w:r>
          </w:p>
        </w:tc>
      </w:tr>
      <w:tr>
        <w:trPr>
          <w:trHeight w:val="241"/>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123,079,151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143,633,239</w:t>
            </w:r>
          </w:p>
        </w:tc>
        <w:tc>
          <w:tcPr>
            <w:tcW w:w="60" w:type="dxa"/>
            <w:vAlign w:val="bottom"/>
          </w:tcPr>
          <w:p>
            <w:pPr>
              <w:spacing w:after="0"/>
              <w:rPr>
                <w:sz w:val="20"/>
                <w:szCs w:val="20"/>
                <w:color w:val="auto"/>
              </w:rPr>
            </w:pPr>
          </w:p>
        </w:tc>
      </w:tr>
      <w:tr>
        <w:trPr>
          <w:trHeight w:val="20"/>
        </w:trPr>
        <w:tc>
          <w:tcPr>
            <w:tcW w:w="1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4"/>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4,824,870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4,348,188</w:t>
            </w:r>
          </w:p>
        </w:tc>
        <w:tc>
          <w:tcPr>
            <w:tcW w:w="60" w:type="dxa"/>
            <w:vAlign w:val="bottom"/>
          </w:tcPr>
          <w:p>
            <w:pPr>
              <w:spacing w:after="0"/>
              <w:rPr>
                <w:sz w:val="24"/>
                <w:szCs w:val="24"/>
                <w:color w:val="auto"/>
              </w:rPr>
            </w:pPr>
          </w:p>
        </w:tc>
      </w:tr>
      <w:tr>
        <w:trPr>
          <w:trHeight w:val="233"/>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6320" w:space="380"/>
            <w:col w:w="4540"/>
          </w:cols>
          <w:pgMar w:left="320" w:top="680" w:right="339" w:bottom="1440" w:gutter="0" w:footer="0" w:header="0"/>
        </w:sect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-116840</wp:posOffset>
            </wp:positionV>
            <wp:extent cx="6631940" cy="135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10" w:lineRule="exact"/>
        <w:rPr>
          <w:sz w:val="20"/>
          <w:szCs w:val="20"/>
          <w:color w:val="auto"/>
        </w:rPr>
      </w:pPr>
    </w:p>
    <w:p>
      <w:pPr>
        <w:ind w:left="640"/>
        <w:spacing w:after="0" w:line="248" w:lineRule="auto"/>
        <w:rPr>
          <w:sz w:val="20"/>
          <w:szCs w:val="20"/>
          <w:color w:val="auto"/>
        </w:rPr>
      </w:pPr>
      <w:r>
        <w:rPr>
          <w:rFonts w:ascii="Times New Roman" w:cs="Times New Roman" w:eastAsia="Times New Roman" w:hAnsi="Times New Roman"/>
          <w:sz w:val="18"/>
          <w:szCs w:val="18"/>
          <w:color w:val="auto"/>
        </w:rPr>
        <w:t>Payments received or receivable in excess of revenue recognized on uncompleted contracts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-122555</wp:posOffset>
            </wp:positionV>
            <wp:extent cx="6631940" cy="161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1940"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4,824,870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35560</wp:posOffset>
            </wp:positionV>
            <wp:extent cx="12496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4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11430</wp:posOffset>
            </wp:positionV>
            <wp:extent cx="12496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255,740</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255,740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35560</wp:posOffset>
            </wp:positionV>
            <wp:extent cx="12496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4,348,188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35560</wp:posOffset>
            </wp:positionV>
            <wp:extent cx="12585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24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11430</wp:posOffset>
            </wp:positionV>
            <wp:extent cx="12585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00" w:lineRule="exact"/>
        <w:rPr>
          <w:sz w:val="20"/>
          <w:szCs w:val="20"/>
          <w:color w:val="auto"/>
        </w:rPr>
      </w:pPr>
    </w:p>
    <w:p>
      <w:pPr>
        <w:spacing w:after="0" w:line="244"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2,337,063</w:t>
      </w:r>
    </w:p>
    <w:p>
      <w:pPr>
        <w:spacing w:after="0" w:line="30"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2,337,063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35560</wp:posOffset>
            </wp:positionV>
            <wp:extent cx="12585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480" w:space="460"/>
            <w:col w:w="1740" w:space="720"/>
            <w:col w:w="1840"/>
          </w:cols>
          <w:pgMar w:left="320" w:top="680" w:right="339" w:bottom="1440" w:gutter="0" w:footer="0" w:header="0"/>
          <w:type w:val="continuous"/>
        </w:sectPr>
      </w:pP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movements in the allowance for credit loss related to contract assets for the year ended September 30, 2024 and for the six months ended</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March 31, 2025 were as follows:</w:t>
      </w:r>
    </w:p>
    <w:p>
      <w:pPr>
        <w:sectPr>
          <w:pgSz w:w="11900" w:h="16838" w:orient="portrait"/>
          <w:cols w:equalWidth="0" w:num="1">
            <w:col w:w="11240"/>
          </w:cols>
          <w:pgMar w:left="320" w:top="6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Balance at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-119380</wp:posOffset>
            </wp:positionV>
            <wp:extent cx="6631940" cy="135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Additions</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Balance at end of the year/period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-122555</wp:posOffset>
            </wp:positionV>
            <wp:extent cx="6631940" cy="161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31940" cy="161290"/>
                    </a:xfrm>
                    <a:prstGeom prst="rect">
                      <a:avLst/>
                    </a:prstGeom>
                    <a:noFill/>
                  </pic:spPr>
                </pic:pic>
              </a:graphicData>
            </a:graphic>
          </wp:anchor>
        </w:drawing>
      </w:r>
    </w:p>
    <w:p>
      <w:pPr>
        <w:spacing w:after="0" w:line="259"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5"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4445</wp:posOffset>
            </wp:positionV>
            <wp:extent cx="12496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1,253,735</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1,038,763</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2,292,498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35560</wp:posOffset>
            </wp:positionV>
            <wp:extent cx="12496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380" w:right="300" w:hanging="392"/>
        <w:spacing w:after="0" w:line="277" w:lineRule="auto"/>
        <w:rPr>
          <w:sz w:val="20"/>
          <w:szCs w:val="20"/>
          <w:color w:val="auto"/>
        </w:rPr>
      </w:pPr>
      <w:r>
        <w:rPr>
          <w:rFonts w:ascii="Times New Roman" w:cs="Times New Roman" w:eastAsia="Times New Roman" w:hAnsi="Times New Roman"/>
          <w:sz w:val="17"/>
          <w:szCs w:val="17"/>
          <w:b w:val="1"/>
          <w:bCs w:val="1"/>
          <w:color w:val="auto"/>
        </w:rPr>
        <w:t>For the six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12585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1"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2,292,498</w:t>
      </w:r>
    </w:p>
    <w:p>
      <w:pPr>
        <w:spacing w:after="0" w:line="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311,983</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2,604,481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12585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112" w:lineRule="exact"/>
        <w:rPr>
          <w:sz w:val="20"/>
          <w:szCs w:val="20"/>
          <w:color w:val="auto"/>
        </w:rPr>
      </w:pPr>
    </w:p>
    <w:p>
      <w:pPr>
        <w:sectPr>
          <w:pgSz w:w="11900" w:h="16838" w:orient="portrait"/>
          <w:cols w:equalWidth="0" w:num="3">
            <w:col w:w="6220" w:space="720"/>
            <w:col w:w="1740" w:space="340"/>
            <w:col w:w="2220"/>
          </w:cols>
          <w:pgMar w:left="320" w:top="6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Prepayment for inventories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-119380</wp:posOffset>
            </wp:positionV>
            <wp:extent cx="6631940" cy="135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4445</wp:posOffset>
            </wp:positionV>
            <wp:extent cx="6631940" cy="144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31940" cy="1447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Prepaid taxes</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83"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11430</wp:posOffset>
            </wp:positionV>
            <wp:extent cx="12496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260,033</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4,933,304</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961,824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12700</wp:posOffset>
            </wp:positionV>
            <wp:extent cx="12496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6,155,161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19050</wp:posOffset>
            </wp:positionV>
            <wp:extent cx="12496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4968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35560</wp:posOffset>
            </wp:positionV>
            <wp:extent cx="12496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11430</wp:posOffset>
            </wp:positionV>
            <wp:extent cx="12585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1,109,243</w:t>
      </w:r>
    </w:p>
    <w:p>
      <w:pPr>
        <w:spacing w:after="0" w:line="19"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6,102,442</w:t>
      </w:r>
    </w:p>
    <w:p>
      <w:pPr>
        <w:spacing w:after="0" w:line="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871,776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12700</wp:posOffset>
            </wp:positionV>
            <wp:extent cx="12585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8,083,461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19050</wp:posOffset>
            </wp:positionV>
            <wp:extent cx="12585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58570" cy="825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35560</wp:posOffset>
            </wp:positionV>
            <wp:extent cx="1258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ectPr>
          <w:pgSz w:w="11900" w:h="16838" w:orient="portrait"/>
          <w:cols w:equalWidth="0" w:num="3">
            <w:col w:w="6220" w:space="720"/>
            <w:col w:w="1740" w:space="720"/>
            <w:col w:w="1840"/>
          </w:cols>
          <w:pgMar w:left="320" w:top="680"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7"/>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68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Property, plant and equipment and related accumulated depreciation were as follows:</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6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1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7"/>
        </w:trPr>
        <w:tc>
          <w:tcPr>
            <w:tcW w:w="6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1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8"/>
        </w:trPr>
        <w:tc>
          <w:tcPr>
            <w:tcW w:w="6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98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gridSpan w:val="2"/>
          </w:tcPr>
          <w:p>
            <w:pPr>
              <w:spacing w:after="0"/>
              <w:rPr>
                <w:sz w:val="18"/>
                <w:szCs w:val="18"/>
                <w:color w:val="auto"/>
              </w:rPr>
            </w:pPr>
          </w:p>
        </w:tc>
      </w:tr>
      <w:tr>
        <w:trPr>
          <w:trHeight w:val="214"/>
        </w:trPr>
        <w:tc>
          <w:tcPr>
            <w:tcW w:w="6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455,795</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455,795</w:t>
            </w:r>
          </w:p>
        </w:tc>
        <w:tc>
          <w:tcPr>
            <w:tcW w:w="100" w:type="dxa"/>
            <w:vAlign w:val="bottom"/>
            <w:shd w:val="clear" w:color="auto" w:fill="CCEEFF"/>
          </w:tcPr>
          <w:p>
            <w:pPr>
              <w:spacing w:after="0"/>
              <w:rPr>
                <w:sz w:val="18"/>
                <w:szCs w:val="18"/>
                <w:color w:val="auto"/>
              </w:rPr>
            </w:pPr>
          </w:p>
        </w:tc>
      </w:tr>
      <w:tr>
        <w:trPr>
          <w:trHeight w:val="214"/>
        </w:trPr>
        <w:tc>
          <w:tcPr>
            <w:tcW w:w="6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devices, furniture and office equipment</w:t>
            </w:r>
          </w:p>
        </w:tc>
        <w:tc>
          <w:tcPr>
            <w:tcW w:w="2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11,800</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Pr>
          <w:p>
            <w:pPr>
              <w:spacing w:after="0"/>
              <w:rPr>
                <w:sz w:val="18"/>
                <w:szCs w:val="18"/>
                <w:color w:val="auto"/>
              </w:rPr>
            </w:pPr>
          </w:p>
        </w:tc>
      </w:tr>
      <w:tr>
        <w:trPr>
          <w:trHeight w:val="228"/>
        </w:trPr>
        <w:tc>
          <w:tcPr>
            <w:tcW w:w="640" w:type="dxa"/>
            <w:vAlign w:val="bottom"/>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application</w:t>
            </w:r>
          </w:p>
        </w:tc>
        <w:tc>
          <w:tcPr>
            <w:tcW w:w="2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103,010</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103,010</w:t>
            </w:r>
          </w:p>
        </w:tc>
        <w:tc>
          <w:tcPr>
            <w:tcW w:w="100" w:type="dxa"/>
            <w:vAlign w:val="bottom"/>
            <w:shd w:val="clear" w:color="auto" w:fill="CCEEFF"/>
          </w:tcPr>
          <w:p>
            <w:pPr>
              <w:spacing w:after="0"/>
              <w:rPr>
                <w:sz w:val="19"/>
                <w:szCs w:val="19"/>
                <w:color w:val="auto"/>
              </w:rPr>
            </w:pPr>
          </w:p>
        </w:tc>
      </w:tr>
      <w:tr>
        <w:trPr>
          <w:trHeight w:val="208"/>
        </w:trPr>
        <w:tc>
          <w:tcPr>
            <w:tcW w:w="6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570,605</w:t>
            </w:r>
          </w:p>
        </w:tc>
        <w:tc>
          <w:tcPr>
            <w:tcW w:w="320" w:type="dxa"/>
            <w:vAlign w:val="bottom"/>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570,605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640" w:type="dxa"/>
            <w:vAlign w:val="bottom"/>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(473,246)</w:t>
            </w:r>
          </w:p>
        </w:tc>
        <w:tc>
          <w:tcPr>
            <w:tcW w:w="2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(480,363)</w:t>
            </w:r>
          </w:p>
        </w:tc>
      </w:tr>
      <w:tr>
        <w:trPr>
          <w:trHeight w:val="221"/>
        </w:trPr>
        <w:tc>
          <w:tcPr>
            <w:tcW w:w="6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97,359</w:t>
            </w:r>
          </w:p>
        </w:tc>
        <w:tc>
          <w:tcPr>
            <w:tcW w:w="32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90,242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Group recorded depreciation expenses of RMB17,690 and RMB7,117 for the six months ended March 31, 2024 and 2025, respectively.</w:t>
      </w:r>
    </w:p>
    <w:p>
      <w:pPr>
        <w:spacing w:after="0" w:line="217" w:lineRule="exact"/>
        <w:rPr>
          <w:sz w:val="20"/>
          <w:szCs w:val="20"/>
          <w:color w:val="auto"/>
        </w:rPr>
      </w:pPr>
    </w:p>
    <w:p>
      <w:pPr>
        <w:ind w:left="320" w:hanging="313"/>
        <w:spacing w:after="0"/>
        <w:tabs>
          <w:tab w:leader="none" w:pos="3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BORROWING</w:t>
      </w:r>
    </w:p>
    <w:p>
      <w:pPr>
        <w:spacing w:after="0" w:line="225"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8"/>
          <w:szCs w:val="18"/>
          <w:color w:val="auto"/>
        </w:rPr>
        <w:t>In November 2024, Julong Online entered into a rolling loan facility agreement with Industrial and Commercial Bank of China with borrowing credit of RMB10,000,000, bearing interest rate of 3.1% per annum with a maturity date in November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8"/>
        </w:trPr>
        <w:tc>
          <w:tcPr>
            <w:tcW w:w="67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are as follows:</w:t>
            </w: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6"/>
        </w:trPr>
        <w:tc>
          <w:tcPr>
            <w:tcW w:w="6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7"/>
        </w:trPr>
        <w:tc>
          <w:tcPr>
            <w:tcW w:w="6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8"/>
        </w:trPr>
        <w:tc>
          <w:tcPr>
            <w:tcW w:w="6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98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98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4"/>
        </w:trPr>
        <w:tc>
          <w:tcPr>
            <w:tcW w:w="6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385,332</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342,889</w:t>
            </w:r>
          </w:p>
        </w:tc>
      </w:tr>
      <w:tr>
        <w:trPr>
          <w:trHeight w:val="214"/>
        </w:trPr>
        <w:tc>
          <w:tcPr>
            <w:tcW w:w="6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to suppliers</w:t>
            </w: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94,510,610</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110,670,068</w:t>
            </w:r>
          </w:p>
        </w:tc>
      </w:tr>
      <w:tr>
        <w:trPr>
          <w:trHeight w:val="214"/>
        </w:trPr>
        <w:tc>
          <w:tcPr>
            <w:tcW w:w="6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10,461,217</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13,099,309</w:t>
            </w:r>
          </w:p>
        </w:tc>
      </w:tr>
      <w:tr>
        <w:trPr>
          <w:trHeight w:val="214"/>
        </w:trPr>
        <w:tc>
          <w:tcPr>
            <w:tcW w:w="6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Supplier deposit for quality</w:t>
            </w: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2,305,592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3,088,604</w:t>
            </w:r>
          </w:p>
        </w:tc>
        <w:tc>
          <w:tcPr>
            <w:tcW w:w="120" w:type="dxa"/>
            <w:vAlign w:val="bottom"/>
          </w:tcPr>
          <w:p>
            <w:pPr>
              <w:spacing w:after="0"/>
              <w:rPr>
                <w:sz w:val="18"/>
                <w:szCs w:val="18"/>
                <w:color w:val="auto"/>
              </w:rPr>
            </w:pPr>
          </w:p>
        </w:tc>
      </w:tr>
      <w:tr>
        <w:trPr>
          <w:trHeight w:val="214"/>
        </w:trPr>
        <w:tc>
          <w:tcPr>
            <w:tcW w:w="6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58,320</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8"/>
        </w:trPr>
        <w:tc>
          <w:tcPr>
            <w:tcW w:w="6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1,146,400</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1,115,781</w:t>
            </w:r>
          </w:p>
        </w:tc>
      </w:tr>
      <w:tr>
        <w:trPr>
          <w:trHeight w:val="221"/>
        </w:trPr>
        <w:tc>
          <w:tcPr>
            <w:tcW w:w="640" w:type="dxa"/>
            <w:vAlign w:val="bottom"/>
          </w:tcPr>
          <w:p>
            <w:pPr>
              <w:spacing w:after="0"/>
              <w:rPr>
                <w:sz w:val="19"/>
                <w:szCs w:val="19"/>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108,867,471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128,316,651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leases of the Group mainly include leases of office space. The components of lease expenses were as follows:</w:t>
      </w:r>
    </w:p>
    <w:p>
      <w:pPr>
        <w:sectPr>
          <w:pgSz w:w="11900" w:h="16838" w:orient="portrait"/>
          <w:cols w:equalWidth="0" w:num="1">
            <w:col w:w="11240"/>
          </w:cols>
          <w:pgMar w:left="320" w:top="6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Short term lease cost</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 lease cost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w:t>
      </w: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4445</wp:posOffset>
            </wp:positionV>
            <wp:extent cx="12496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12700</wp:posOffset>
            </wp:positionV>
            <wp:extent cx="6631940" cy="135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192,928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16510</wp:posOffset>
            </wp:positionV>
            <wp:extent cx="6631940" cy="144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31940" cy="144780"/>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12700</wp:posOffset>
            </wp:positionV>
            <wp:extent cx="12496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192,928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19050</wp:posOffset>
            </wp:positionV>
            <wp:extent cx="12496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4968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35560</wp:posOffset>
            </wp:positionV>
            <wp:extent cx="12496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For the Six Months ended</w:t>
      </w:r>
    </w:p>
    <w:p>
      <w:pPr>
        <w:spacing w:after="0" w:line="4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12585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16"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163,524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12585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238"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163,524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2585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85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585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220" w:space="720"/>
            <w:col w:w="1740" w:space="320"/>
            <w:col w:w="2240"/>
          </w:cols>
          <w:pgMar w:left="320" w:top="679" w:right="339" w:bottom="1440" w:gutter="0" w:footer="0" w:header="0"/>
          <w:type w:val="continuous"/>
        </w:sectPr>
      </w:pPr>
    </w:p>
    <w:p>
      <w:pPr>
        <w:spacing w:after="0" w:line="66"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8"/>
          <w:szCs w:val="18"/>
          <w:color w:val="auto"/>
        </w:rPr>
        <w:t>Operating lease cost was recognized as rental expenses in consolidated statements of operations on a straight-line basis over the lease term. For the six months ended March 31, 2024, and 2025, there is no variable lease cost and sublease income recognized in the consolidated financial statements of the Group.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8" w:name="page19"/>
    <w:bookmarkEnd w:id="18"/>
    <w:p>
      <w:pPr>
        <w:ind w:left="640"/>
        <w:spacing w:after="0"/>
        <w:rPr>
          <w:sz w:val="20"/>
          <w:szCs w:val="20"/>
          <w:color w:val="auto"/>
        </w:rPr>
      </w:pPr>
      <w:r>
        <w:rPr>
          <w:rFonts w:ascii="Times New Roman" w:cs="Times New Roman" w:eastAsia="Times New Roman" w:hAnsi="Times New Roman"/>
          <w:sz w:val="18"/>
          <w:szCs w:val="18"/>
          <w:color w:val="auto"/>
        </w:rPr>
        <w:t>Supplemental cash flows information related to leases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Cash paid for amounts included in measurement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-119380</wp:posOffset>
            </wp:positionV>
            <wp:extent cx="6631940" cy="135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cash flows from operating leases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-127635</wp:posOffset>
            </wp:positionV>
            <wp:extent cx="6631940" cy="144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31940" cy="14478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Supplemental balance sheet information related to leases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-116840</wp:posOffset>
            </wp:positionV>
            <wp:extent cx="6631940" cy="135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lease right-of-use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7"/>
        </w:trPr>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0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30"/>
        </w:trPr>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20"/>
                <w:szCs w:val="20"/>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0" w:type="dxa"/>
            <w:vAlign w:val="bottom"/>
            <w:gridSpan w:val="2"/>
          </w:tcPr>
          <w:p>
            <w:pPr>
              <w:spacing w:after="0"/>
              <w:rPr>
                <w:sz w:val="20"/>
                <w:szCs w:val="20"/>
                <w:color w:val="auto"/>
              </w:rPr>
            </w:pPr>
          </w:p>
        </w:tc>
      </w:tr>
      <w:tr>
        <w:trPr>
          <w:trHeight w:val="419"/>
        </w:trPr>
        <w:tc>
          <w:tcPr>
            <w:tcW w:w="2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(90,695)</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(95,003)</w:t>
            </w:r>
          </w:p>
        </w:tc>
      </w:tr>
      <w:tr>
        <w:trPr>
          <w:trHeight w:val="435"/>
        </w:trPr>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28"/>
        </w:trPr>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7"/>
        </w:trPr>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30"/>
        </w:trPr>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20"/>
                <w:szCs w:val="20"/>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0" w:type="dxa"/>
            <w:vAlign w:val="bottom"/>
            <w:gridSpan w:val="2"/>
          </w:tcPr>
          <w:p>
            <w:pPr>
              <w:spacing w:after="0"/>
              <w:rPr>
                <w:sz w:val="20"/>
                <w:szCs w:val="20"/>
                <w:color w:val="auto"/>
              </w:rPr>
            </w:pPr>
          </w:p>
        </w:tc>
      </w:tr>
      <w:tr>
        <w:trPr>
          <w:trHeight w:val="417"/>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127,163</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32,161</w:t>
            </w:r>
          </w:p>
        </w:tc>
        <w:tc>
          <w:tcPr>
            <w:tcW w:w="4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2">
            <w:col w:w="5980" w:space="720"/>
            <w:col w:w="4540"/>
          </w:cols>
          <w:pgMar w:left="320" w:top="684" w:right="339" w:bottom="1440" w:gutter="0" w:footer="0" w:header="0"/>
        </w:sectPr>
      </w:pPr>
    </w:p>
    <w:tbl>
      <w:tblPr>
        <w:tblLayout w:type="fixed"/>
        <w:tblInd w:w="640" w:type="dxa"/>
        <w:tblCellMar>
          <w:top w:w="0" w:type="dxa"/>
          <w:left w:w="0" w:type="dxa"/>
          <w:bottom w:w="0" w:type="dxa"/>
          <w:right w:w="0" w:type="dxa"/>
        </w:tblCellMar>
      </w:tblPr>
      <w:tr>
        <w:trPr>
          <w:trHeight w:val="223"/>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assets</w:t>
            </w:r>
          </w:p>
        </w:tc>
        <w:tc>
          <w:tcPr>
            <w:tcW w:w="1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127,163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60" w:type="dxa"/>
            <w:vAlign w:val="bottom"/>
            <w:gridSpan w:val="2"/>
            <w:vMerge w:val="continue"/>
          </w:tcPr>
          <w:p>
            <w:pPr>
              <w:spacing w:after="0"/>
              <w:rPr>
                <w:sz w:val="16"/>
                <w:szCs w:val="16"/>
                <w:color w:val="auto"/>
              </w:rPr>
            </w:pPr>
          </w:p>
        </w:tc>
        <w:tc>
          <w:tcPr>
            <w:tcW w:w="19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95,003</w:t>
            </w:r>
          </w:p>
        </w:tc>
        <w:tc>
          <w:tcPr>
            <w:tcW w:w="26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9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95,003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1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7"/>
        </w:trPr>
        <w:tc>
          <w:tcPr>
            <w:tcW w:w="6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0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March 31,2024</w:t>
            </w:r>
          </w:p>
        </w:tc>
        <w:tc>
          <w:tcPr>
            <w:tcW w:w="21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8"/>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w:t>
            </w:r>
          </w:p>
        </w:tc>
        <w:tc>
          <w:tcPr>
            <w:tcW w:w="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4"/>
              </w:rPr>
              <w:t>1.25 years</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years</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w:t>
            </w:r>
          </w:p>
        </w:tc>
        <w:tc>
          <w:tcPr>
            <w:tcW w:w="2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60" w:type="dxa"/>
            <w:vAlign w:val="bottom"/>
          </w:tcPr>
          <w:p>
            <w:pPr>
              <w:spacing w:after="0"/>
              <w:rPr>
                <w:sz w:val="20"/>
                <w:szCs w:val="20"/>
                <w:color w:val="auto"/>
              </w:rPr>
            </w:pP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4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maturity analysis of lease liabilities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March 31, 2025 the Group did not have any lease contracts whose leases had not yet commenced.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w:t>
      </w:r>
    </w:p>
    <w:p>
      <w:pPr>
        <w:spacing w:after="0" w:line="225" w:lineRule="exact"/>
        <w:rPr>
          <w:sz w:val="20"/>
          <w:szCs w:val="20"/>
          <w:color w:val="auto"/>
        </w:rPr>
      </w:pPr>
    </w:p>
    <w:p>
      <w:pPr>
        <w:ind w:left="640"/>
        <w:spacing w:after="0" w:line="309" w:lineRule="auto"/>
        <w:rPr>
          <w:sz w:val="20"/>
          <w:szCs w:val="20"/>
          <w:color w:val="auto"/>
        </w:rPr>
      </w:pPr>
      <w:r>
        <w:rPr>
          <w:rFonts w:ascii="Times New Roman" w:cs="Times New Roman" w:eastAsia="Times New Roman" w:hAnsi="Times New Roman"/>
          <w:sz w:val="17"/>
          <w:szCs w:val="17"/>
          <w:color w:val="auto"/>
        </w:rPr>
        <w:t>The Group’s financial assets and liabilities primarily include cash and cash equivalents, restricted cash, accounts receivable, notes receivable, other receivables, amounts due from related parties, amount due to related parties, short-term borrowing, accounts payable and other current liabilities.</w:t>
      </w:r>
    </w:p>
    <w:p>
      <w:pPr>
        <w:spacing w:after="0" w:line="139"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receivable, notes receivable, amounts due from related parties, other receivables, amount due to related parties, short-term borrowing, accounts payable and other current liabilities approximate their fair values.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13. REVENUE</w:t>
      </w:r>
    </w:p>
    <w:p>
      <w:pPr>
        <w:spacing w:after="0" w:line="2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The following table disaggregates the Group’s revenue by major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Engineering solutions of intelligent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-119380</wp:posOffset>
            </wp:positionV>
            <wp:extent cx="6631940" cy="135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Operation and maintenance of intelligent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4445</wp:posOffset>
            </wp:positionV>
            <wp:extent cx="6631940" cy="144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31940" cy="1447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Sales of equipment and materials of intelligent systems</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Six Months Ended March 3l,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8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189"/>
        </w:trPr>
        <w:tc>
          <w:tcPr>
            <w:tcW w:w="1980" w:type="dxa"/>
            <w:vAlign w:val="bottom"/>
          </w:tcPr>
          <w:p>
            <w:pPr>
              <w:jc w:val="right"/>
              <w:ind w:right="691"/>
              <w:spacing w:after="0" w:line="189" w:lineRule="exact"/>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6"/>
                <w:szCs w:val="16"/>
                <w:color w:val="auto"/>
              </w:rPr>
            </w:pPr>
          </w:p>
        </w:tc>
        <w:tc>
          <w:tcPr>
            <w:tcW w:w="1980" w:type="dxa"/>
            <w:vAlign w:val="bottom"/>
          </w:tcPr>
          <w:p>
            <w:pPr>
              <w:jc w:val="right"/>
              <w:ind w:right="691"/>
              <w:spacing w:after="0" w:line="189" w:lineRule="exact"/>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16"/>
                <w:szCs w:val="16"/>
                <w:color w:val="auto"/>
              </w:rPr>
            </w:pPr>
          </w:p>
        </w:tc>
      </w:tr>
      <w:tr>
        <w:trPr>
          <w:trHeight w:val="214"/>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86,317,471</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97,860,980</w:t>
            </w:r>
          </w:p>
        </w:tc>
      </w:tr>
      <w:tr>
        <w:trPr>
          <w:trHeight w:val="228"/>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4,862,650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4,303,976</w:t>
            </w:r>
          </w:p>
        </w:tc>
        <w:tc>
          <w:tcPr>
            <w:tcW w:w="20" w:type="dxa"/>
            <w:vAlign w:val="bottom"/>
          </w:tcPr>
          <w:p>
            <w:pPr>
              <w:spacing w:after="0"/>
              <w:rPr>
                <w:sz w:val="19"/>
                <w:szCs w:val="19"/>
                <w:color w:val="auto"/>
              </w:rPr>
            </w:pPr>
          </w:p>
        </w:tc>
      </w:tr>
      <w:tr>
        <w:trPr>
          <w:trHeight w:val="233"/>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1,665,691</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10,290</w:t>
            </w:r>
          </w:p>
        </w:tc>
      </w:tr>
      <w:tr>
        <w:trPr>
          <w:trHeight w:val="221"/>
        </w:trPr>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92,845,812</w:t>
            </w:r>
          </w:p>
        </w:tc>
        <w:tc>
          <w:tcPr>
            <w:tcW w:w="32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102,175,246</w:t>
            </w:r>
          </w:p>
        </w:tc>
        <w:tc>
          <w:tcPr>
            <w:tcW w:w="20" w:type="dxa"/>
            <w:vAlign w:val="bottom"/>
          </w:tcPr>
          <w:p>
            <w:pPr>
              <w:spacing w:after="0"/>
              <w:rPr>
                <w:sz w:val="19"/>
                <w:szCs w:val="19"/>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5980" w:space="720"/>
            <w:col w:w="4540"/>
          </w:cols>
          <w:pgMar w:left="320" w:top="680" w:right="339" w:bottom="1440" w:gutter="0" w:footer="0" w:header="0"/>
        </w:sect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Group’s revenues recognized at a point in time or over time: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4400" w:type="dxa"/>
            <w:vAlign w:val="bottom"/>
            <w:gridSpan w:val="4"/>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Six Months Ended March 3l,</w:t>
            </w:r>
          </w:p>
        </w:tc>
      </w:tr>
      <w:tr>
        <w:trPr>
          <w:trHeight w:val="221"/>
        </w:trPr>
        <w:tc>
          <w:tcPr>
            <w:tcW w:w="606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r>
      <w:tr>
        <w:trPr>
          <w:trHeight w:val="208"/>
        </w:trPr>
        <w:tc>
          <w:tcPr>
            <w:tcW w:w="6060" w:type="dxa"/>
            <w:vAlign w:val="bottom"/>
          </w:tcPr>
          <w:p>
            <w:pPr>
              <w:spacing w:after="0"/>
              <w:rPr>
                <w:sz w:val="18"/>
                <w:szCs w:val="18"/>
                <w:color w:val="auto"/>
              </w:rPr>
            </w:pPr>
          </w:p>
        </w:tc>
        <w:tc>
          <w:tcPr>
            <w:tcW w:w="198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98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1,665,691</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10,290</w:t>
            </w: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91,180,121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102,164,956</w:t>
            </w:r>
          </w:p>
        </w:tc>
        <w:tc>
          <w:tcPr>
            <w:tcW w:w="120" w:type="dxa"/>
            <w:vAlign w:val="bottom"/>
          </w:tcPr>
          <w:p>
            <w:pPr>
              <w:spacing w:after="0"/>
              <w:rPr>
                <w:sz w:val="19"/>
                <w:szCs w:val="19"/>
                <w:color w:val="auto"/>
              </w:rPr>
            </w:pPr>
          </w:p>
        </w:tc>
      </w:tr>
      <w:tr>
        <w:trPr>
          <w:trHeight w:val="22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92,845,812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102,175,246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Revenues with amount of RMB92,845,812 and RMB102,175,246 was recognized in the six months ended March 31,2024 and 2025 which was included in the balance of contract liabilities at September 30, 2023 and 2024. Remaining unsatisfied performance obligations that will be recognized as revenue by the Group within the following 12 months are RMB21,538,052 and RMB18,488,920 of the remaining performance obligations as of September 30, 2024 and March 31, 2025, respectively, with the remainder recognized thereafter.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Cayman Islands (“Cayman”)</w:t>
      </w:r>
    </w:p>
    <w:p>
      <w:pPr>
        <w:spacing w:after="0" w:line="223"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tax on income or capital gain. Additionally, the Cayman Islands does not impose a withholding tax on payments of dividends to shareholders.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British Virgin Islands Taxation (“BVI”)</w:t>
      </w:r>
    </w:p>
    <w:p>
      <w:pPr>
        <w:spacing w:after="0" w:line="223"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color w:val="auto"/>
        </w:rPr>
        <w:t>Jiangshan Holding Limited is incorporated in the British Virgin Islands. Under the current laws of the British Virgin Islands, Jiangshan Holding Limited is not subject to income tax.</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Hong Kong (“HK”)</w:t>
      </w:r>
    </w:p>
    <w:p>
      <w:pPr>
        <w:spacing w:after="0" w:line="223"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Hong Kong Changfeng Holding Limited is incorporated in Hong Kong. Companies registered in Hong Kong are subject to Hong Kong profits tax on the taxable income as reported in their respective statutory financial statements adjusted in accordance with relevant Hong Kong tax laws. Under the two-tiered profits tax rates regime in Hong Kong, the first HK$2 million of profits of the qualifying group entity will be taxed at 8.25%, and profits above HK$2 million will be taxed at 16.5%.</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The People’s Republic of China</w:t>
      </w:r>
    </w:p>
    <w:p>
      <w:pPr>
        <w:spacing w:after="0" w:line="223"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8"/>
          <w:szCs w:val="18"/>
          <w:color w:val="auto"/>
        </w:rPr>
        <w:t>Under the PRC Enterprise Income Tax Law, the statutory income tax rate is 25%, and the enterprise income tax rate will be reduced to 15% for state-encouraged High and New Technology Enterprises (“HNTEs”). Julong Online first obtained a HNTE certificate in 2019 and was entitled to enjoy the preferential tax rate of 15% after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current and deferred components of the income tax expense appearing in the consolidated statements of operations are as follows:</w:t>
      </w:r>
    </w:p>
    <w:p>
      <w:pPr>
        <w:spacing w:after="0" w:line="2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Six Months Ended March 3l,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r>
      <w:tr>
        <w:trPr>
          <w:trHeight w:val="208"/>
        </w:trPr>
        <w:tc>
          <w:tcPr>
            <w:tcW w:w="6060" w:type="dxa"/>
            <w:vAlign w:val="bottom"/>
          </w:tcPr>
          <w:p>
            <w:pPr>
              <w:spacing w:after="0"/>
              <w:rPr>
                <w:sz w:val="18"/>
                <w:szCs w:val="18"/>
                <w:color w:val="auto"/>
              </w:rPr>
            </w:pPr>
          </w:p>
        </w:tc>
        <w:tc>
          <w:tcPr>
            <w:tcW w:w="1220" w:type="dxa"/>
            <w:vAlign w:val="bottom"/>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4"/>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1,646,015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2,107,365</w:t>
            </w:r>
          </w:p>
        </w:tc>
        <w:tc>
          <w:tcPr>
            <w:tcW w:w="120" w:type="dxa"/>
            <w:vAlign w:val="bottom"/>
            <w:shd w:val="clear" w:color="auto" w:fill="CCEEFF"/>
          </w:tcPr>
          <w:p>
            <w:pPr>
              <w:spacing w:after="0"/>
              <w:rPr>
                <w:sz w:val="18"/>
                <w:szCs w:val="18"/>
                <w:color w:val="auto"/>
              </w:rPr>
            </w:pPr>
          </w:p>
        </w:tc>
      </w:tr>
      <w:tr>
        <w:trPr>
          <w:trHeight w:val="21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(56,182)</w:t>
            </w:r>
          </w:p>
        </w:tc>
        <w:tc>
          <w:tcPr>
            <w:tcW w:w="2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(62,182)</w:t>
            </w:r>
          </w:p>
        </w:tc>
      </w:tr>
      <w:tr>
        <w:trPr>
          <w:trHeight w:val="241"/>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1,589,833</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2,045,183</w:t>
            </w:r>
          </w:p>
        </w:tc>
        <w:tc>
          <w:tcPr>
            <w:tcW w:w="120" w:type="dxa"/>
            <w:vAlign w:val="bottom"/>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deferred tax assets and deferred tax liabilities are as follows:</w:t>
      </w:r>
    </w:p>
    <w:p>
      <w:pPr>
        <w:sectPr>
          <w:pgSz w:w="11900" w:h="16838" w:orient="portrait"/>
          <w:cols w:equalWidth="0" w:num="1">
            <w:col w:w="10600"/>
          </w:cols>
          <w:pgMar w:left="960" w:top="6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-116840</wp:posOffset>
            </wp:positionV>
            <wp:extent cx="6631940" cy="135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6631940" cy="135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6631940" cy="144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31940" cy="1447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19050</wp:posOffset>
            </wp:positionV>
            <wp:extent cx="6631940" cy="144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31940" cy="14478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-116840</wp:posOffset>
            </wp:positionV>
            <wp:extent cx="6631940" cy="135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31940" cy="135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-116840</wp:posOffset>
            </wp:positionV>
            <wp:extent cx="6631940" cy="14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31940" cy="14478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-116840</wp:posOffset>
            </wp:positionV>
            <wp:extent cx="6631940" cy="161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31940" cy="1612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roll forward of valuation allowances of deferred tax assets: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7"/>
        </w:trPr>
        <w:tc>
          <w:tcPr>
            <w:tcW w:w="2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30,2024</w:t>
            </w:r>
          </w:p>
        </w:tc>
        <w:tc>
          <w:tcPr>
            <w:tcW w:w="2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March 31,2025</w:t>
            </w:r>
          </w:p>
        </w:tc>
      </w:tr>
      <w:tr>
        <w:trPr>
          <w:trHeight w:val="230"/>
        </w:trPr>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20"/>
                <w:szCs w:val="20"/>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 w:type="dxa"/>
            <w:vAlign w:val="bottom"/>
          </w:tcPr>
          <w:p>
            <w:pPr>
              <w:spacing w:after="0"/>
              <w:rPr>
                <w:sz w:val="20"/>
                <w:szCs w:val="20"/>
                <w:color w:val="auto"/>
              </w:rPr>
            </w:pPr>
          </w:p>
        </w:tc>
      </w:tr>
      <w:tr>
        <w:trPr>
          <w:trHeight w:val="387"/>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3,644</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w:t>
            </w:r>
          </w:p>
        </w:tc>
      </w:tr>
      <w:tr>
        <w:trPr>
          <w:trHeight w:val="228"/>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6,668</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7,909</w:t>
            </w:r>
          </w:p>
        </w:tc>
      </w:tr>
      <w:tr>
        <w:trPr>
          <w:trHeight w:val="233"/>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565,519</w:t>
            </w:r>
          </w:p>
        </w:tc>
        <w:tc>
          <w:tcPr>
            <w:tcW w:w="320" w:type="dxa"/>
            <w:vAlign w:val="bottom"/>
          </w:tcPr>
          <w:p>
            <w:pPr>
              <w:spacing w:after="0"/>
              <w:rPr>
                <w:sz w:val="20"/>
                <w:szCs w:val="20"/>
                <w:color w:val="auto"/>
              </w:rPr>
            </w:pPr>
          </w:p>
        </w:tc>
        <w:tc>
          <w:tcPr>
            <w:tcW w:w="2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626,460</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575,831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638,121</w:t>
            </w:r>
          </w:p>
        </w:tc>
        <w:tc>
          <w:tcPr>
            <w:tcW w:w="60" w:type="dxa"/>
            <w:vAlign w:val="bottom"/>
          </w:tcPr>
          <w:p>
            <w:pPr>
              <w:spacing w:after="0"/>
              <w:rPr>
                <w:sz w:val="18"/>
                <w:szCs w:val="18"/>
                <w:color w:val="auto"/>
              </w:rPr>
            </w:pPr>
          </w:p>
        </w:tc>
      </w:tr>
      <w:tr>
        <w:trPr>
          <w:trHeight w:val="246"/>
        </w:trPr>
        <w:tc>
          <w:tcPr>
            <w:tcW w:w="2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(3,644)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422"/>
        </w:trPr>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572,187</w:t>
            </w:r>
          </w:p>
        </w:tc>
        <w:tc>
          <w:tcPr>
            <w:tcW w:w="320" w:type="dxa"/>
            <w:vAlign w:val="bottom"/>
          </w:tcPr>
          <w:p>
            <w:pPr>
              <w:spacing w:after="0"/>
              <w:rPr>
                <w:sz w:val="24"/>
                <w:szCs w:val="24"/>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634,369</w:t>
            </w:r>
          </w:p>
        </w:tc>
        <w:tc>
          <w:tcPr>
            <w:tcW w:w="60" w:type="dxa"/>
            <w:vAlign w:val="bottom"/>
          </w:tcPr>
          <w:p>
            <w:pPr>
              <w:spacing w:after="0"/>
              <w:rPr>
                <w:sz w:val="24"/>
                <w:szCs w:val="24"/>
                <w:color w:val="auto"/>
              </w:rPr>
            </w:pPr>
          </w:p>
        </w:tc>
      </w:tr>
      <w:tr>
        <w:trPr>
          <w:trHeight w:val="441"/>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r>
      <w:tr>
        <w:trPr>
          <w:trHeight w:val="449"/>
        </w:trPr>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572,187</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634,369</w:t>
            </w:r>
          </w:p>
        </w:tc>
        <w:tc>
          <w:tcPr>
            <w:tcW w:w="60" w:type="dxa"/>
            <w:vAlign w:val="bottom"/>
          </w:tcPr>
          <w:p>
            <w:pPr>
              <w:spacing w:after="0"/>
              <w:rPr>
                <w:sz w:val="24"/>
                <w:szCs w:val="24"/>
                <w:color w:val="auto"/>
              </w:rPr>
            </w:pPr>
          </w:p>
        </w:tc>
      </w:tr>
      <w:tr>
        <w:trPr>
          <w:trHeight w:val="20"/>
        </w:trPr>
        <w:tc>
          <w:tcPr>
            <w:tcW w:w="1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91" w:lineRule="exact"/>
        <w:rPr>
          <w:sz w:val="20"/>
          <w:szCs w:val="20"/>
          <w:color w:val="auto"/>
        </w:rPr>
      </w:pPr>
    </w:p>
    <w:p>
      <w:pPr>
        <w:sectPr>
          <w:pgSz w:w="11900" w:h="16838" w:orient="portrait"/>
          <w:cols w:equalWidth="0" w:num="2">
            <w:col w:w="5340" w:space="720"/>
            <w:col w:w="4540"/>
          </w:cols>
          <w:pgMar w:left="960" w:top="683"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6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7"/>
        </w:trPr>
        <w:tc>
          <w:tcPr>
            <w:tcW w:w="6060" w:type="dxa"/>
            <w:vAlign w:val="bottom"/>
          </w:tcPr>
          <w:p>
            <w:pPr>
              <w:spacing w:after="0"/>
              <w:rPr>
                <w:sz w:val="20"/>
                <w:szCs w:val="20"/>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8"/>
        </w:trPr>
        <w:tc>
          <w:tcPr>
            <w:tcW w:w="6060" w:type="dxa"/>
            <w:vAlign w:val="bottom"/>
          </w:tcPr>
          <w:p>
            <w:pPr>
              <w:spacing w:after="0"/>
              <w:rPr>
                <w:sz w:val="18"/>
                <w:szCs w:val="18"/>
                <w:color w:val="auto"/>
              </w:rPr>
            </w:pPr>
          </w:p>
        </w:tc>
        <w:tc>
          <w:tcPr>
            <w:tcW w:w="1980" w:type="dxa"/>
            <w:vAlign w:val="bottom"/>
            <w:tcBorders>
              <w:top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98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year</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3,644</w:t>
            </w: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Addition of valuation allowance</w:t>
            </w: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3,644</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3,644</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3,752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reconciliation of income tax expense at the effective rate from income tax at the statutory rate: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4400" w:type="dxa"/>
            <w:vAlign w:val="bottom"/>
            <w:gridSpan w:val="4"/>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Six Months Ended March 3l,</w:t>
            </w:r>
          </w:p>
        </w:tc>
      </w:tr>
      <w:tr>
        <w:trPr>
          <w:trHeight w:val="221"/>
        </w:trPr>
        <w:tc>
          <w:tcPr>
            <w:tcW w:w="606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r>
      <w:tr>
        <w:trPr>
          <w:trHeight w:val="208"/>
        </w:trPr>
        <w:tc>
          <w:tcPr>
            <w:tcW w:w="6060" w:type="dxa"/>
            <w:vAlign w:val="bottom"/>
          </w:tcPr>
          <w:p>
            <w:pPr>
              <w:spacing w:after="0"/>
              <w:rPr>
                <w:sz w:val="18"/>
                <w:szCs w:val="18"/>
                <w:color w:val="auto"/>
              </w:rPr>
            </w:pPr>
          </w:p>
        </w:tc>
        <w:tc>
          <w:tcPr>
            <w:tcW w:w="198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98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10,483,041</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13,627,541</w:t>
            </w: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computed at statutory income tax rate</w:t>
            </w: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2,620,760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3,406,885</w:t>
            </w:r>
          </w:p>
        </w:tc>
        <w:tc>
          <w:tcPr>
            <w:tcW w:w="120" w:type="dxa"/>
            <w:vAlign w:val="bottom"/>
          </w:tcPr>
          <w:p>
            <w:pPr>
              <w:spacing w:after="0"/>
              <w:rPr>
                <w:sz w:val="18"/>
                <w:szCs w:val="18"/>
                <w:color w:val="auto"/>
              </w:rPr>
            </w:pP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preferential tax rate</w:t>
            </w:r>
          </w:p>
        </w:tc>
        <w:tc>
          <w:tcPr>
            <w:tcW w:w="2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(1,048,304)</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(1,362,754)</w:t>
            </w: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15,191</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income tax rate difference in other jurisdictions</w:t>
            </w:r>
          </w:p>
        </w:tc>
        <w:tc>
          <w:tcPr>
            <w:tcW w:w="2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(1,458)</w:t>
            </w:r>
          </w:p>
        </w:tc>
        <w:tc>
          <w:tcPr>
            <w:tcW w:w="2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3,644</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r>
      <w:tr>
        <w:trPr>
          <w:trHeight w:val="22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1,589,833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2,045,183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25% or applicable preferential income tax rates were applied when calculating deferred tax assets. Valuation allowances are established for deferred tax assets based on a more likely than not threshold.</w:t>
      </w:r>
    </w:p>
    <w:p>
      <w:pPr>
        <w:spacing w:after="0" w:line="17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16510</wp:posOffset>
            </wp:positionV>
            <wp:extent cx="71335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600"/>
          </w:cols>
          <w:pgMar w:left="960" w:top="68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15. EMPLOYEE BENEFITS</w:t>
      </w:r>
    </w:p>
    <w:p>
      <w:pPr>
        <w:spacing w:after="0" w:line="225"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RMB630,334 and RMB621,329 for the six months ended March 31, 2024 and 2025,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INCOME PER SHARE</w:t>
      </w:r>
    </w:p>
    <w:p>
      <w:pPr>
        <w:spacing w:after="0" w:line="225"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color w:val="auto"/>
        </w:rPr>
        <w:t>For the purpose of calculating net income per share, the number of shares used in the calculation reflects the outstanding shares of the Company as if the Reorganization as described in Note 1 took place at the earliest period presented.</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4400" w:type="dxa"/>
            <w:vAlign w:val="bottom"/>
            <w:gridSpan w:val="4"/>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Six Months Ended March 3l,</w:t>
            </w:r>
          </w:p>
        </w:tc>
      </w:tr>
      <w:tr>
        <w:trPr>
          <w:trHeight w:val="221"/>
        </w:trPr>
        <w:tc>
          <w:tcPr>
            <w:tcW w:w="6060" w:type="dxa"/>
            <w:vAlign w:val="bottom"/>
          </w:tcPr>
          <w:p>
            <w:pPr>
              <w:spacing w:after="0"/>
              <w:rPr>
                <w:sz w:val="19"/>
                <w:szCs w:val="19"/>
                <w:color w:val="auto"/>
              </w:rPr>
            </w:pPr>
          </w:p>
        </w:tc>
        <w:tc>
          <w:tcPr>
            <w:tcW w:w="198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r>
      <w:tr>
        <w:trPr>
          <w:trHeight w:val="208"/>
        </w:trPr>
        <w:tc>
          <w:tcPr>
            <w:tcW w:w="6060" w:type="dxa"/>
            <w:vAlign w:val="bottom"/>
          </w:tcPr>
          <w:p>
            <w:pPr>
              <w:spacing w:after="0"/>
              <w:rPr>
                <w:sz w:val="18"/>
                <w:szCs w:val="18"/>
                <w:color w:val="auto"/>
              </w:rPr>
            </w:pPr>
          </w:p>
        </w:tc>
        <w:tc>
          <w:tcPr>
            <w:tcW w:w="198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98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ordinary shareholders of Julong Holding Limited</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8,887,338</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11,566,664</w:t>
            </w: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outstanding-basic and diluted</w:t>
            </w:r>
          </w:p>
        </w:tc>
        <w:tc>
          <w:tcPr>
            <w:tcW w:w="2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20,001,132</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20,011,132</w:t>
            </w:r>
          </w:p>
        </w:tc>
      </w:tr>
      <w:tr>
        <w:trPr>
          <w:trHeight w:val="23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w:t>
            </w:r>
          </w:p>
        </w:tc>
        <w:tc>
          <w:tcPr>
            <w:tcW w:w="2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0.44</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0.58</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Major related parties that transacted with the Group and their respective relationship to the Group are listed as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related parties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r>
      <w:tr>
        <w:trPr>
          <w:trHeight w:val="208"/>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Yihai Construction Engineering Co., Ltd.</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controlled by Hu Jiaqi</w:t>
            </w:r>
          </w:p>
        </w:tc>
      </w:tr>
      <w:tr>
        <w:trPr>
          <w:trHeight w:val="2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Beijing Jianlei International Decoration Engineering Co.,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Company controlled by Hu Jiaqi</w:t>
            </w:r>
          </w:p>
        </w:tc>
      </w:tr>
      <w:tr>
        <w:trPr>
          <w:trHeight w:val="21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Wu Yue</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Shareholder</w:t>
            </w: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Six Months Ended March 3l,</w:t>
            </w:r>
          </w:p>
        </w:tc>
        <w:tc>
          <w:tcPr>
            <w:tcW w:w="0" w:type="dxa"/>
            <w:vAlign w:val="bottom"/>
          </w:tcPr>
          <w:p>
            <w:pPr>
              <w:spacing w:after="0"/>
              <w:rPr>
                <w:sz w:val="1"/>
                <w:szCs w:val="1"/>
                <w:color w:val="auto"/>
              </w:rPr>
            </w:pPr>
          </w:p>
        </w:tc>
      </w:t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Nature of transactions</w:t>
            </w:r>
          </w:p>
        </w:tc>
        <w:tc>
          <w:tcPr>
            <w:tcW w:w="220" w:type="dxa"/>
            <w:vAlign w:val="bottom"/>
          </w:tcPr>
          <w:p>
            <w:pPr>
              <w:spacing w:after="0"/>
              <w:rPr>
                <w:sz w:val="19"/>
                <w:szCs w:val="19"/>
                <w:color w:val="auto"/>
              </w:rPr>
            </w:pPr>
          </w:p>
        </w:tc>
        <w:tc>
          <w:tcPr>
            <w:tcW w:w="3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 from engineering solutions and</w:t>
            </w:r>
          </w:p>
        </w:tc>
        <w:tc>
          <w:tcPr>
            <w:tcW w:w="3820" w:type="dxa"/>
            <w:vAlign w:val="bottom"/>
            <w:gridSpan w:val="3"/>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Beijing Jianlei International Decoration</w:t>
            </w:r>
          </w:p>
        </w:tc>
        <w:tc>
          <w:tcPr>
            <w:tcW w:w="1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of intelligent projects</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Engineering Co., Ltd.</w:t>
            </w:r>
          </w:p>
        </w:tc>
        <w:tc>
          <w:tcPr>
            <w:tcW w:w="2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43,320,274</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42,257,767</w:t>
            </w:r>
          </w:p>
        </w:tc>
        <w:tc>
          <w:tcPr>
            <w:tcW w:w="0" w:type="dxa"/>
            <w:vAlign w:val="bottom"/>
          </w:tcPr>
          <w:p>
            <w:pPr>
              <w:spacing w:after="0"/>
              <w:rPr>
                <w:sz w:val="1"/>
                <w:szCs w:val="1"/>
                <w:color w:val="auto"/>
              </w:rPr>
            </w:pPr>
          </w:p>
        </w:tc>
      </w:t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43,320,274</w:t>
            </w:r>
          </w:p>
        </w:tc>
        <w:tc>
          <w:tcPr>
            <w:tcW w:w="3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42,257,767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Six Months Ended March 3l,</w:t>
            </w:r>
          </w:p>
        </w:tc>
        <w:tc>
          <w:tcPr>
            <w:tcW w:w="0" w:type="dxa"/>
            <w:vAlign w:val="bottom"/>
          </w:tcPr>
          <w:p>
            <w:pPr>
              <w:spacing w:after="0"/>
              <w:rPr>
                <w:sz w:val="1"/>
                <w:szCs w:val="1"/>
                <w:color w:val="auto"/>
              </w:rPr>
            </w:pPr>
          </w:p>
        </w:tc>
      </w:t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Nature of transactions</w:t>
            </w:r>
          </w:p>
        </w:tc>
        <w:tc>
          <w:tcPr>
            <w:tcW w:w="220" w:type="dxa"/>
            <w:vAlign w:val="bottom"/>
          </w:tcPr>
          <w:p>
            <w:pPr>
              <w:spacing w:after="0"/>
              <w:rPr>
                <w:sz w:val="19"/>
                <w:szCs w:val="19"/>
                <w:color w:val="auto"/>
              </w:rPr>
            </w:pPr>
          </w:p>
        </w:tc>
        <w:tc>
          <w:tcPr>
            <w:tcW w:w="3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rPr>
                <w:sz w:val="17"/>
                <w:szCs w:val="17"/>
                <w:color w:val="auto"/>
              </w:rPr>
            </w:pPr>
          </w:p>
        </w:tc>
        <w:tc>
          <w:tcPr>
            <w:tcW w:w="3820" w:type="dxa"/>
            <w:vAlign w:val="bottom"/>
            <w:gridSpan w:val="3"/>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Beijing Yihai Construction Engineering Co.,</w:t>
            </w:r>
          </w:p>
        </w:tc>
        <w:tc>
          <w:tcPr>
            <w:tcW w:w="1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services</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Ltd.</w:t>
            </w:r>
          </w:p>
        </w:tc>
        <w:tc>
          <w:tcPr>
            <w:tcW w:w="2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57,940</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57,940</w:t>
            </w:r>
          </w:p>
        </w:tc>
        <w:tc>
          <w:tcPr>
            <w:tcW w:w="0" w:type="dxa"/>
            <w:vAlign w:val="bottom"/>
          </w:tcPr>
          <w:p>
            <w:pPr>
              <w:spacing w:after="0"/>
              <w:rPr>
                <w:sz w:val="1"/>
                <w:szCs w:val="1"/>
                <w:color w:val="auto"/>
              </w:rPr>
            </w:pPr>
          </w:p>
        </w:tc>
      </w:t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57,940</w:t>
            </w:r>
          </w:p>
        </w:tc>
        <w:tc>
          <w:tcPr>
            <w:tcW w:w="3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Nature of balance</w:t>
            </w:r>
          </w:p>
        </w:tc>
        <w:tc>
          <w:tcPr>
            <w:tcW w:w="220" w:type="dxa"/>
            <w:vAlign w:val="bottom"/>
          </w:tcPr>
          <w:p>
            <w:pPr>
              <w:spacing w:after="0"/>
              <w:rPr>
                <w:sz w:val="20"/>
                <w:szCs w:val="20"/>
                <w:color w:val="auto"/>
              </w:rPr>
            </w:pPr>
          </w:p>
        </w:tc>
        <w:tc>
          <w:tcPr>
            <w:tcW w:w="3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0" w:type="dxa"/>
            <w:vAlign w:val="bottom"/>
          </w:tcPr>
          <w:p>
            <w:pPr>
              <w:spacing w:after="0"/>
              <w:rPr>
                <w:sz w:val="1"/>
                <w:szCs w:val="1"/>
                <w:color w:val="auto"/>
              </w:rPr>
            </w:pPr>
          </w:p>
        </w:tc>
      </w:tr>
      <w:tr>
        <w:trPr>
          <w:trHeight w:val="208"/>
        </w:trPr>
        <w:tc>
          <w:tcPr>
            <w:tcW w:w="3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Amounts due from related parties relating</w:t>
            </w:r>
          </w:p>
        </w:tc>
        <w:tc>
          <w:tcPr>
            <w:tcW w:w="3820" w:type="dxa"/>
            <w:vAlign w:val="bottom"/>
            <w:gridSpan w:val="3"/>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Beijing Jianlei International Decoration</w:t>
            </w:r>
          </w:p>
        </w:tc>
        <w:tc>
          <w:tcPr>
            <w:tcW w:w="1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operating activities</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Engineering Co., Ltd.</w:t>
            </w:r>
          </w:p>
        </w:tc>
        <w:tc>
          <w:tcPr>
            <w:tcW w:w="2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4,525,495</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3,826,469</w:t>
            </w: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4,525,495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3,826,469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8"/>
                <w:szCs w:val="18"/>
                <w:color w:val="auto"/>
              </w:rPr>
              <w:t>II-18</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vMerge w:val="continue"/>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9"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Nature of balance</w:t>
            </w:r>
          </w:p>
        </w:tc>
        <w:tc>
          <w:tcPr>
            <w:tcW w:w="220" w:type="dxa"/>
            <w:vAlign w:val="bottom"/>
          </w:tcPr>
          <w:p>
            <w:pPr>
              <w:spacing w:after="0"/>
              <w:rPr>
                <w:sz w:val="20"/>
                <w:szCs w:val="20"/>
                <w:color w:val="auto"/>
              </w:rPr>
            </w:pPr>
          </w:p>
        </w:tc>
        <w:tc>
          <w:tcPr>
            <w:tcW w:w="360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08"/>
        </w:trPr>
        <w:tc>
          <w:tcPr>
            <w:tcW w:w="3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gridSpan w:val="2"/>
          </w:tcPr>
          <w:p>
            <w:pPr>
              <w:spacing w:after="0"/>
              <w:rPr>
                <w:sz w:val="18"/>
                <w:szCs w:val="18"/>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Amounts due to related parties relating to</w:t>
            </w:r>
          </w:p>
        </w:tc>
        <w:tc>
          <w:tcPr>
            <w:tcW w:w="3820" w:type="dxa"/>
            <w:vAlign w:val="bottom"/>
            <w:gridSpan w:val="3"/>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Beijing Jianlei International Decoration</w:t>
            </w:r>
          </w:p>
        </w:tc>
        <w:tc>
          <w:tcPr>
            <w:tcW w:w="1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Engineering Co., Ltd.</w:t>
            </w:r>
          </w:p>
        </w:tc>
        <w:tc>
          <w:tcPr>
            <w:tcW w:w="2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13,894,067</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6"/>
        </w:trPr>
        <w:tc>
          <w:tcPr>
            <w:tcW w:w="3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Amounts due to related parties relating to</w:t>
            </w:r>
          </w:p>
        </w:tc>
        <w:tc>
          <w:tcPr>
            <w:tcW w:w="382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Beijing Yihai Construction Engineering Co.,</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Ltd.</w:t>
            </w:r>
          </w:p>
        </w:tc>
        <w:tc>
          <w:tcPr>
            <w:tcW w:w="2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202,790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260,730</w:t>
            </w:r>
          </w:p>
        </w:tc>
        <w:tc>
          <w:tcPr>
            <w:tcW w:w="80" w:type="dxa"/>
            <w:vAlign w:val="bottom"/>
          </w:tcPr>
          <w:p>
            <w:pPr>
              <w:spacing w:after="0"/>
              <w:rPr>
                <w:sz w:val="20"/>
                <w:szCs w:val="20"/>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Amounts due to related parties relating to</w:t>
            </w:r>
          </w:p>
        </w:tc>
        <w:tc>
          <w:tcPr>
            <w:tcW w:w="22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Beijing Huiju Tianxia Investment Co., Ltd</w:t>
            </w:r>
          </w:p>
        </w:tc>
        <w:tc>
          <w:tcPr>
            <w:tcW w:w="2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350,000</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21"/>
                <w:szCs w:val="21"/>
                <w:color w:val="auto"/>
              </w:rPr>
            </w:pPr>
          </w:p>
        </w:tc>
      </w:t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14,446,857</w:t>
            </w:r>
          </w:p>
        </w:tc>
        <w:tc>
          <w:tcPr>
            <w:tcW w:w="3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610,730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hanging="313"/>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3" w:lineRule="exact"/>
        <w:rPr>
          <w:rFonts w:ascii="Times New Roman" w:cs="Times New Roman" w:eastAsia="Times New Roman" w:hAnsi="Times New Roman"/>
          <w:sz w:val="18"/>
          <w:szCs w:val="18"/>
          <w:b w:val="1"/>
          <w:bCs w:val="1"/>
          <w:color w:val="auto"/>
        </w:rPr>
      </w:pPr>
    </w:p>
    <w:p>
      <w:pPr>
        <w:ind w:left="900" w:hanging="250"/>
        <w:spacing w:after="0"/>
        <w:tabs>
          <w:tab w:leader="none" w:pos="900" w:val="left"/>
        </w:tabs>
        <w:numPr>
          <w:ilvl w:val="1"/>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Commitments</w:t>
      </w:r>
    </w:p>
    <w:p>
      <w:pPr>
        <w:spacing w:after="0" w:line="223"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color w:val="auto"/>
        </w:rPr>
        <w:t>As of September 30, 2024 and March 31,2025, the Group did not have commitments contracted but not yet reflected in the consolidated financial statements.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(b) Contingencies</w:t>
      </w:r>
    </w:p>
    <w:p>
      <w:pPr>
        <w:spacing w:after="0" w:line="223"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color w:val="auto"/>
        </w:rPr>
        <w:t>The Group is subject to periodic legal or administrative proceeding in the ordinary course of business. The Group does not have any pending legal or administrative proceeding to which the Group is a party that will have a material effect on its business or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225"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Group’s chief operating decision maker (“CODM”) has been identified as the Chief Executive Officer of the Company, who reviews financial information when making decisions about allocating resources and assessing performance of the Group. An operating segment is a component of the Group that engages in business activities from which it may earn revenues and incur costs, and is identified on the basis of the internal financial reports that are provided to and regularly reviewed by the Group’s CODM. All of the Company’s operating facilities and long-lived assets are in China. The Group has determined that it has only one operating segment as defined by ASC 280.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w:t>
      </w:r>
    </w:p>
    <w:p>
      <w:pPr>
        <w:spacing w:after="0" w:line="225" w:lineRule="exact"/>
        <w:rPr>
          <w:sz w:val="20"/>
          <w:szCs w:val="20"/>
          <w:color w:val="auto"/>
        </w:rPr>
      </w:pPr>
    </w:p>
    <w:p>
      <w:pPr>
        <w:jc w:val="both"/>
        <w:ind w:left="640"/>
        <w:spacing w:after="0" w:line="278" w:lineRule="auto"/>
        <w:rPr>
          <w:sz w:val="20"/>
          <w:szCs w:val="20"/>
          <w:color w:val="auto"/>
        </w:rPr>
      </w:pPr>
      <w:r>
        <w:rPr>
          <w:rFonts w:ascii="Times New Roman" w:cs="Times New Roman" w:eastAsia="Times New Roman" w:hAnsi="Times New Roman"/>
          <w:sz w:val="18"/>
          <w:szCs w:val="18"/>
          <w:color w:val="auto"/>
        </w:rPr>
        <w:t>The Group has evaluated subsequent events through September 24, 2025, which is the date when the unaudited condensed consolidated financial statements are available to be disclosed.</w:t>
      </w:r>
    </w:p>
    <w:p>
      <w:pPr>
        <w:spacing w:after="0" w:line="163"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On June 9, 2025, the Securities and Exchange Commission declared effective Julong Holding’s Registration Statement on Form F-1. On July 2, 2025, the Company consummated the initial public offering of 1,250,000 ordinary shares at a price of US$4.0 per share, generating net proceeds of approximately US$3.4 million after deducting underwriting discounts and commissions and offering expenses. the underwriter has exercised its over-allotment option in full to purchase an additional 187,500 Class A ordinary shares at the public offering price from the Company, bringing additional gross proceeds of US$750,000 to the Company before deducting underwriting discounts and commissions.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We are a growth-oriented professional provider of intelligent integrated solutions to public utilities, commercial properties, and multifamily residential properties operating at scale in China. The intelligent integrated solutions that we offer typically include intelligent security systems, fire protection systems, parking systems, toll collection systems, broadcasting systems, identification systems, data room systems, emergency command systems and city management systems.</w:t>
      </w:r>
    </w:p>
    <w:p>
      <w:pPr>
        <w:spacing w:after="0" w:line="181"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We have successfully provided intelligent integrated services and solutions to numerous landmark infrastructure projects in private and public sectors in China, such as (i) the design, procurement, installation, integration and maintenance of the security system, access control system and parking system of an international airport in Beijing, (ii) the installation, integration and maintenance of the parking system and visitor management system of a prestigious public university in Beijing, and (iii) the operation and maintenance of the intelligent integrated systems of over 460 branches of a renowned commercial bank in Southwest China. We primarily obtain contracts either through direct invitation for quotation from customers, or through a competitive tendering process of the project employers or their main contractors.</w:t>
      </w:r>
    </w:p>
    <w:p>
      <w:pPr>
        <w:spacing w:after="0" w:line="185" w:lineRule="exact"/>
        <w:rPr>
          <w:sz w:val="20"/>
          <w:szCs w:val="20"/>
          <w:color w:val="auto"/>
        </w:rPr>
      </w:pPr>
    </w:p>
    <w:p>
      <w:pPr>
        <w:jc w:val="both"/>
        <w:ind w:firstLine="643"/>
        <w:spacing w:after="0" w:line="254" w:lineRule="auto"/>
        <w:rPr>
          <w:sz w:val="20"/>
          <w:szCs w:val="20"/>
          <w:color w:val="auto"/>
        </w:rPr>
      </w:pPr>
      <w:r>
        <w:rPr>
          <w:rFonts w:ascii="Times New Roman" w:cs="Times New Roman" w:eastAsia="Times New Roman" w:hAnsi="Times New Roman"/>
          <w:sz w:val="18"/>
          <w:szCs w:val="18"/>
          <w:color w:val="auto"/>
        </w:rPr>
        <w:t>Our business lines include (i) engineering solutions of intelligent projects, (ii) operation and maintenance of intelligent projects, and (iii) sales of equipment and materials of intelligent systems. Our intelligent integrated solutions enable an array of service scenarios to be digitized, visualized and simplified, enabling easier management by and bringing long-term benefits for our customers. We develop and deliver one-stop high-quality services and solutions that cater to the needs of each customer and enhance customer experience with stringent quality assurance policies. We have highly experienced management and technical teams, and we maintain long-term and stable relationships with several technical and installation teams that share our core corporate values.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5"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We generated revenue primarily from the provision of services for engineering solutions, operation and maintenance of intelligent projects and sales of equipment and materials of intelligent systems.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breaks down our revenue by amounts and as percentages of our net revenues for the periods presented:</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2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1"/>
        </w:trPr>
        <w:tc>
          <w:tcPr>
            <w:tcW w:w="2380" w:type="dxa"/>
            <w:vAlign w:val="bottom"/>
          </w:tcPr>
          <w:p>
            <w:pPr>
              <w:spacing w:after="0"/>
              <w:rPr>
                <w:sz w:val="19"/>
                <w:szCs w:val="19"/>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8"/>
        </w:trPr>
        <w:tc>
          <w:tcPr>
            <w:tcW w:w="2380" w:type="dxa"/>
            <w:vAlign w:val="bottom"/>
          </w:tcPr>
          <w:p>
            <w:pPr>
              <w:spacing w:after="0"/>
              <w:rPr>
                <w:sz w:val="18"/>
                <w:szCs w:val="18"/>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RMB</w:t>
            </w:r>
          </w:p>
        </w:tc>
        <w:tc>
          <w:tcPr>
            <w:tcW w:w="6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196"/>
        </w:trPr>
        <w:tc>
          <w:tcPr>
            <w:tcW w:w="2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Engineering solutions of</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intelligent projects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86,317,471</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97,860,980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13,485,604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w:t>
            </w:r>
          </w:p>
        </w:tc>
      </w:tr>
      <w:tr>
        <w:trPr>
          <w:trHeight w:val="196"/>
        </w:trPr>
        <w:tc>
          <w:tcPr>
            <w:tcW w:w="2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Operation and maintenance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intelligent projects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4,862,650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4,303,976</w:t>
            </w: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593,104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196"/>
        </w:trPr>
        <w:tc>
          <w:tcPr>
            <w:tcW w:w="2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Sales of equipment and</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of intelligent systems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1,665,691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92,845,812</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102,175,246</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14,080,125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643"/>
        <w:spacing w:after="0" w:line="278" w:lineRule="auto"/>
        <w:rPr>
          <w:sz w:val="20"/>
          <w:szCs w:val="20"/>
          <w:color w:val="auto"/>
        </w:rPr>
      </w:pPr>
      <w:r>
        <w:rPr>
          <w:rFonts w:ascii="Times New Roman" w:cs="Times New Roman" w:eastAsia="Times New Roman" w:hAnsi="Times New Roman"/>
          <w:sz w:val="18"/>
          <w:szCs w:val="18"/>
          <w:color w:val="auto"/>
        </w:rPr>
        <w:t>Our business lines include (i) engineering solutions of intelligent projects, (ii) operation and maintenance of intelligent projects, and (iii) sales of equipment and materials of intelligent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1335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cost of sales mainly comprises direct labor costs and cost of materials and tools.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breaks down our cost of revenues by amounts and as percentages of our cost of revenues for the periods presented:</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24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1"/>
        </w:trPr>
        <w:tc>
          <w:tcPr>
            <w:tcW w:w="2440" w:type="dxa"/>
            <w:vAlign w:val="bottom"/>
          </w:tcPr>
          <w:p>
            <w:pPr>
              <w:spacing w:after="0"/>
              <w:rPr>
                <w:sz w:val="19"/>
                <w:szCs w:val="19"/>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8"/>
        </w:trPr>
        <w:tc>
          <w:tcPr>
            <w:tcW w:w="2440" w:type="dxa"/>
            <w:vAlign w:val="bottom"/>
          </w:tcPr>
          <w:p>
            <w:pPr>
              <w:spacing w:after="0"/>
              <w:rPr>
                <w:sz w:val="18"/>
                <w:szCs w:val="18"/>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RMB</w:t>
            </w:r>
          </w:p>
        </w:tc>
        <w:tc>
          <w:tcPr>
            <w:tcW w:w="6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34,822,028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46,044,108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6,345,048</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 and tools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43,563,965</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55.6%</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39,412,639</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5,431,206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r>
      <w:tr>
        <w:trPr>
          <w:trHeight w:val="22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78,385,993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85,456,746</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11,776,254</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operating expenses and as percentages of our operating expenses for the periods presented:</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2520" w:type="dxa"/>
            <w:vAlign w:val="bottom"/>
          </w:tcPr>
          <w:p>
            <w:pPr>
              <w:spacing w:after="0"/>
              <w:rPr>
                <w:sz w:val="19"/>
                <w:szCs w:val="19"/>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1"/>
        </w:trPr>
        <w:tc>
          <w:tcPr>
            <w:tcW w:w="2520" w:type="dxa"/>
            <w:vAlign w:val="bottom"/>
          </w:tcPr>
          <w:p>
            <w:pPr>
              <w:spacing w:after="0"/>
              <w:rPr>
                <w:sz w:val="19"/>
                <w:szCs w:val="19"/>
                <w:color w:val="auto"/>
              </w:rPr>
            </w:pP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RMB</w:t>
            </w:r>
          </w:p>
        </w:tc>
        <w:tc>
          <w:tcPr>
            <w:tcW w:w="64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US$</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76"/>
        </w:trPr>
        <w:tc>
          <w:tcPr>
            <w:tcW w:w="252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4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3,988,800</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3,105,980</w:t>
            </w:r>
          </w:p>
        </w:tc>
        <w:tc>
          <w:tcPr>
            <w:tcW w:w="1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428,015</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4"/>
              </w:rPr>
              <w:t>3,988,800</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3,105,980</w:t>
            </w:r>
          </w:p>
        </w:tc>
        <w:tc>
          <w:tcPr>
            <w:tcW w:w="220" w:type="dxa"/>
            <w:vAlign w:val="bottom"/>
          </w:tcPr>
          <w:p>
            <w:pPr>
              <w:spacing w:after="0"/>
              <w:rPr>
                <w:sz w:val="19"/>
                <w:szCs w:val="19"/>
                <w:color w:val="auto"/>
              </w:rPr>
            </w:pPr>
          </w:p>
        </w:tc>
        <w:tc>
          <w:tcPr>
            <w:tcW w:w="8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5"/>
              </w:rPr>
              <w:t>428,015</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Our selling, general and administrative expenses primarily consist of (i) professional services fee, (ii) payroll and related expenses for employees involved in general corporate functions, (iii) costs associated with these functions including rental and other general corporate related expenses incurred, and (iv) provision of bad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expenses mainly represent interest expenses on short-term borrowings.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income mainly consists of miscellaneous items such as government subsidy.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presented, both in absolute amount and as percentages of our net revenues. This information should be read together with our combined and consolidated financial statements and related notes included elsewhere in this prospectus. The results of operations in any particular period are not necessarily indicative of our future trends.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Variances</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RMB</w:t>
            </w:r>
          </w:p>
        </w:tc>
        <w:tc>
          <w:tcPr>
            <w:tcW w:w="2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RMB</w:t>
            </w:r>
          </w:p>
        </w:tc>
        <w:tc>
          <w:tcPr>
            <w:tcW w:w="2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RMB</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92,845,812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102,175,246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14,080,125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9,329,434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78,385,993</w:t>
            </w:r>
          </w:p>
        </w:tc>
        <w:tc>
          <w:tcPr>
            <w:tcW w:w="220" w:type="dxa"/>
            <w:vAlign w:val="bottom"/>
          </w:tcPr>
          <w:p>
            <w:pPr>
              <w:spacing w:after="0"/>
              <w:rPr>
                <w:sz w:val="19"/>
                <w:szCs w:val="19"/>
                <w:color w:val="auto"/>
              </w:rPr>
            </w:pPr>
          </w:p>
        </w:tc>
        <w:tc>
          <w:tcPr>
            <w:tcW w:w="9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84.4%</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85,456,746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11,776,254</w:t>
            </w:r>
          </w:p>
        </w:tc>
        <w:tc>
          <w:tcPr>
            <w:tcW w:w="9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83.6%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7,070,753</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2,258,681</w:t>
            </w: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14,459,819</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16,718,500</w:t>
            </w:r>
          </w:p>
        </w:tc>
        <w:tc>
          <w:tcPr>
            <w:tcW w:w="24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2,303,871</w:t>
            </w:r>
          </w:p>
        </w:tc>
        <w:tc>
          <w:tcPr>
            <w:tcW w:w="2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16.4%</w:t>
            </w:r>
          </w:p>
        </w:tc>
        <w:tc>
          <w:tcPr>
            <w:tcW w:w="102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Selling, general and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3,988,800</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3,105,980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428,015</w:t>
            </w:r>
          </w:p>
        </w:tc>
        <w:tc>
          <w:tcPr>
            <w:tcW w:w="9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(882,820)</w:t>
            </w:r>
          </w:p>
        </w:tc>
        <w:tc>
          <w:tcPr>
            <w:tcW w:w="2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1860" w:type="dxa"/>
            <w:vAlign w:val="bottom"/>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Total operating</w:t>
            </w: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3,988,800</w:t>
            </w:r>
          </w:p>
        </w:tc>
        <w:tc>
          <w:tcPr>
            <w:tcW w:w="220" w:type="dxa"/>
            <w:vAlign w:val="bottom"/>
          </w:tcPr>
          <w:p>
            <w:pPr>
              <w:spacing w:after="0"/>
              <w:rPr>
                <w:sz w:val="21"/>
                <w:szCs w:val="21"/>
                <w:color w:val="auto"/>
              </w:rPr>
            </w:pPr>
          </w:p>
        </w:tc>
        <w:tc>
          <w:tcPr>
            <w:tcW w:w="9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3,105,980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428,015</w:t>
            </w:r>
          </w:p>
        </w:tc>
        <w:tc>
          <w:tcPr>
            <w:tcW w:w="9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3.0%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(882,820)</w:t>
            </w:r>
          </w:p>
        </w:tc>
        <w:tc>
          <w:tcPr>
            <w:tcW w:w="22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18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10,471,019</w:t>
            </w:r>
          </w:p>
        </w:tc>
        <w:tc>
          <w:tcPr>
            <w:tcW w:w="9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13,612,520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1,875,856</w:t>
            </w:r>
          </w:p>
        </w:tc>
        <w:tc>
          <w:tcPr>
            <w:tcW w:w="9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3,141,501</w:t>
            </w:r>
          </w:p>
        </w:tc>
        <w:tc>
          <w:tcPr>
            <w:tcW w:w="2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0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(expense)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6,152</w:t>
            </w:r>
          </w:p>
        </w:tc>
        <w:tc>
          <w:tcPr>
            <w:tcW w:w="9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9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(7,088)</w:t>
            </w:r>
          </w:p>
        </w:tc>
        <w:tc>
          <w:tcPr>
            <w:tcW w:w="2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(116.7)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Income before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0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tax</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10,477,171</w:t>
            </w:r>
          </w:p>
        </w:tc>
        <w:tc>
          <w:tcPr>
            <w:tcW w:w="9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13,611,847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1,875,763</w:t>
            </w:r>
          </w:p>
        </w:tc>
        <w:tc>
          <w:tcPr>
            <w:tcW w:w="9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13.3%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3,134,676</w:t>
            </w:r>
          </w:p>
        </w:tc>
        <w:tc>
          <w:tcPr>
            <w:tcW w:w="2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1,589,833</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2,045,183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281,834</w:t>
            </w:r>
          </w:p>
        </w:tc>
        <w:tc>
          <w:tcPr>
            <w:tcW w:w="9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455,350</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8,887,338</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11,566,664</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1,593,929</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2,679,326</w:t>
            </w:r>
          </w:p>
        </w:tc>
        <w:tc>
          <w:tcPr>
            <w:tcW w:w="2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March 31, 2025 Compared to Six Months Ended March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Our revenues increased by 10.0% from RMB92,846 thousand for the six months ended March 31, 2024 to RMB102,175 thousand (US$14,080 thousand) for the six months ended March 31, 2025, primarily attributable to an increase in the number of intelligent projects where we provided engineering solutions, and an increase in average service fee for providing engineering solutions of intelligent projects.</w:t>
      </w:r>
    </w:p>
    <w:p>
      <w:pPr>
        <w:spacing w:after="0" w:line="176"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Our revenues generated from the service of engineering solutions of intelligent projects increased by 13.4% from RMB86,317 thousand for the six months ended March 31, 2024 to RMB97,861 thousand (US$13,486 thousand) for the six months ended March 31, 2025. 144 newly signed contracts were under execution to provide engineering solutions of intelligent projects during the six months ended March 31, 2025, as compared to 82 contracts newly signed and under execution during the six months ended March 31, 2024. The average contract amount for contracts to provide engineering solutions under execution during the six months ended March 31, 2024 and 2025 was RMB731 thousand and RMB433 thousand (US$60 thousand), respectively.</w:t>
      </w:r>
    </w:p>
    <w:p>
      <w:pPr>
        <w:spacing w:after="0" w:line="186"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Revenues generated from the service of operation and maintenance of intelligent projects decreased by 11.5% from RMB4,863 thousand for the six months ended March 31, 2024 to RMB4,304 thousand (US$593 thousand) for the six months ended March 31, 2025. 5 newly signed contracts were under execution to provide operation and maintenance of intelligent projects during the six months ended March 31, 2025, The same number of contracts signed during the six months ended March 31, 2024. The average contract amount for contracts to provide operation and maintenance services under execution during the six months ended March 31, 2024 and 2025 was RMB231 thousand and RMB96 thousand (US$13 thousand), respectively.</w:t>
      </w:r>
    </w:p>
    <w:p>
      <w:pPr>
        <w:spacing w:after="0" w:line="186"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Revenues generated from the sale of equipment and material of intellectualized systems decreased by 99.4% from RMB1,666 thousand for the six months ended March 31, 2024 to RMB10 thousand (US$1 thousand) for the six months ended March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3"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Our cost of revenues increased by 9.0% from RMB78,386 thousand for the six months ended March 31, 2024 to RMB85,457 thousand (US$11,776 thousand) for the six months ended March 31, 2025. The increase was in line with the increase in revenues and was primarily attributable to (i) an increase of RMB11,222 thousand (US$1,546 thousand) in labor cost due to increased sales, and (ii) a decrease of RMB4,151 thousand (US$572 thousand) in materials and components cost associated with the increased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15.6% from RMB14,460 thousand for the six months ended March 31, 2024 to RMB16,719 thousand (US$2,304 thousand) for the six months ended March 31, 2025. Our gross margin increased from 15.6% for the six months ended March 31, 2024 to 16.4% for the six months ended March 31, 2025 primarily due to lower labor cost incurred during the six months ended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The following table sets forth a breakdown of our selling, general and administrative expenses during the periods indicated, both in the absolute amount and as a percentage of total selling, general and administrative expenses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Six months ended March 31,</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Variances</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28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21"/>
        </w:trPr>
        <w:tc>
          <w:tcPr>
            <w:tcW w:w="28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cost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2,780,946</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2,259,534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311,372</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72.7%</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(521,412)</w:t>
            </w: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1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461,740</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111,862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15,415</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(349,878)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r>
      <w:tr>
        <w:trPr>
          <w:trHeight w:val="2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credit loss</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375,382</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55,986</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30,893</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192,928</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22,534</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(29,404)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17,690</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7,117</w:t>
            </w:r>
          </w:p>
        </w:tc>
        <w:tc>
          <w:tcPr>
            <w:tcW w:w="2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981</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(10,573)</w:t>
            </w: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r>
      <w:tr>
        <w:trPr>
          <w:trHeight w:val="21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2,597</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45,220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6,231</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42,623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1,641.1</w:t>
            </w:r>
          </w:p>
        </w:tc>
      </w:tr>
      <w:tr>
        <w:trPr>
          <w:trHeight w:val="192"/>
        </w:trPr>
        <w:tc>
          <w:tcPr>
            <w:tcW w:w="282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Total selling, general and</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3,988,800</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3,105,980</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428,015</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(882,820)</w:t>
            </w:r>
          </w:p>
        </w:tc>
        <w:tc>
          <w:tcPr>
            <w:tcW w:w="28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(22.1)</w:t>
            </w:r>
          </w:p>
        </w:tc>
      </w:tr>
      <w:tr>
        <w:trPr>
          <w:trHeight w:val="20"/>
        </w:trPr>
        <w:tc>
          <w:tcPr>
            <w:tcW w:w="28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decreased by 22.1% from RMB3,989 thousand for the six months ended March 31, 2024 to RMB3,106 thousand (US$428 thousand) for the six months ended March 31, 2025, which was primarily due to a decrease in human cost for RMB521 thousand (US$72 thousand) and service fee for RMB350 thousand (US$48 thousand) resulted from our continuing effort of cost reduction and efficiency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35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As a result of the foregoing, our operating income before income taxes increased by 30.0% from RMB10,477 thousand for the six months ended March 31, 2024 to RMB13,613 thousand (US$1,876 thousand) for the six months ended March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Our income tax expense increased by 28.6% from RMB1,590 thousand for the six months ended March 31, 2024 to RMB2,045 thousand (US$282 thousand) for the six months ended March 31, 2025 due to the increase in operating income before income tax.</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2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As a result of the foregoing, our net income increased by 30.2% from RMB8,887 thousand for the six months ended March 31, 2024 to RMB11,567 thousand (US$1,594 thousand) for the six months ended March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operating and investing activities primarily through cash generated from operating activities and shareholder contribution. As of September 30, 2024 and March 31, 2025, our cash and cash equivalents and restricted cash were RMB20,772 thousand, and RMB21,366 thousand (US$2,944 thousand), respectively. Our cash and cash equivalents and restricted cash primarily consist of cash and time deposits with terms of three months or less.</w:t>
      </w:r>
    </w:p>
    <w:p>
      <w:pPr>
        <w:spacing w:after="0" w:line="181"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We believe that our current levels of cash and cash flows from operations will be sufficient to meet our anticipated cash needs for at least the next 12 months. However, we may need additional cash resources in the future if we find and wish to pursue opportunities for investment, acquisition, strategic cooperation or other similar actions. If we determine that our cash requirements exceed the amounts of cash on hand or if we decide to further optimize our capital structure, we may seek to issue debt or equity securities or obtain credit facilities or other sources of funding.</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a summary of its cash flows for the periods indicated:</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3960" w:type="dxa"/>
            <w:vAlign w:val="bottom"/>
          </w:tcPr>
          <w:p>
            <w:pPr>
              <w:spacing w:after="0"/>
              <w:rPr>
                <w:sz w:val="20"/>
                <w:szCs w:val="20"/>
                <w:color w:val="auto"/>
              </w:rPr>
            </w:pPr>
          </w:p>
        </w:tc>
        <w:tc>
          <w:tcPr>
            <w:tcW w:w="35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142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Variances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3960" w:type="dxa"/>
            <w:vAlign w:val="bottom"/>
          </w:tcPr>
          <w:p>
            <w:pPr>
              <w:spacing w:after="0"/>
              <w:rPr>
                <w:sz w:val="19"/>
                <w:szCs w:val="19"/>
                <w:color w:val="auto"/>
              </w:rPr>
            </w:pPr>
          </w:p>
        </w:tc>
        <w:tc>
          <w:tcPr>
            <w:tcW w:w="9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4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08"/>
        </w:trPr>
        <w:tc>
          <w:tcPr>
            <w:tcW w:w="3960" w:type="dxa"/>
            <w:vAlign w:val="bottom"/>
          </w:tcPr>
          <w:p>
            <w:pPr>
              <w:spacing w:after="0"/>
              <w:rPr>
                <w:sz w:val="18"/>
                <w:szCs w:val="18"/>
                <w:color w:val="auto"/>
              </w:rPr>
            </w:pPr>
          </w:p>
        </w:tc>
        <w:tc>
          <w:tcPr>
            <w:tcW w:w="9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RMB</w:t>
            </w:r>
          </w:p>
        </w:tc>
        <w:tc>
          <w:tcPr>
            <w:tcW w:w="280" w:type="dxa"/>
            <w:vAlign w:val="bottom"/>
          </w:tcPr>
          <w:p>
            <w:pPr>
              <w:spacing w:after="0"/>
              <w:rPr>
                <w:sz w:val="18"/>
                <w:szCs w:val="18"/>
                <w:color w:val="auto"/>
              </w:rPr>
            </w:pPr>
          </w:p>
        </w:tc>
        <w:tc>
          <w:tcPr>
            <w:tcW w:w="8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US$</w:t>
            </w:r>
          </w:p>
        </w:tc>
        <w:tc>
          <w:tcPr>
            <w:tcW w:w="280" w:type="dxa"/>
            <w:vAlign w:val="bottom"/>
          </w:tcPr>
          <w:p>
            <w:pPr>
              <w:spacing w:after="0"/>
              <w:rPr>
                <w:sz w:val="18"/>
                <w:szCs w:val="18"/>
                <w:color w:val="auto"/>
              </w:rPr>
            </w:pPr>
          </w:p>
        </w:tc>
        <w:tc>
          <w:tcPr>
            <w:tcW w:w="9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61,589,994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(8,236,979)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(1,135,086)</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(69,826,973)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(113.4)</w:t>
            </w:r>
          </w:p>
        </w:tc>
      </w:tr>
      <w:tr>
        <w:trPr>
          <w:trHeight w:val="21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(59,098,500)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59,098,500</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(14,835,479)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8,830,861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1,216,925</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23,666,340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(159.5)</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5" w:lineRule="exact"/>
        <w:rPr>
          <w:sz w:val="20"/>
          <w:szCs w:val="20"/>
          <w:color w:val="auto"/>
        </w:rPr>
      </w:pPr>
    </w:p>
    <w:p>
      <w:pPr>
        <w:ind w:firstLine="643"/>
        <w:spacing w:after="0" w:line="278" w:lineRule="auto"/>
        <w:rPr>
          <w:sz w:val="20"/>
          <w:szCs w:val="20"/>
          <w:color w:val="auto"/>
        </w:rPr>
      </w:pPr>
      <w:r>
        <w:rPr>
          <w:rFonts w:ascii="Times New Roman" w:cs="Times New Roman" w:eastAsia="Times New Roman" w:hAnsi="Times New Roman"/>
          <w:sz w:val="18"/>
          <w:szCs w:val="18"/>
          <w:color w:val="auto"/>
        </w:rPr>
        <w:t>Net cash used in operating activities was RMB8,237 thousand (US$1,135 thousand) for the six months ended March 31, 2025, as compared to RMB61,590 thousand net cash provided by operating activities for the six months ended March 31, 2024.</w:t>
      </w:r>
    </w:p>
    <w:p>
      <w:pPr>
        <w:spacing w:after="0" w:line="163" w:lineRule="exact"/>
        <w:rPr>
          <w:sz w:val="20"/>
          <w:szCs w:val="20"/>
          <w:color w:val="auto"/>
        </w:rPr>
      </w:pPr>
    </w:p>
    <w:p>
      <w:pPr>
        <w:jc w:val="both"/>
        <w:ind w:firstLine="643"/>
        <w:spacing w:after="0" w:line="259" w:lineRule="auto"/>
        <w:rPr>
          <w:sz w:val="20"/>
          <w:szCs w:val="20"/>
          <w:color w:val="auto"/>
        </w:rPr>
      </w:pPr>
      <w:r>
        <w:rPr>
          <w:rFonts w:ascii="Times New Roman" w:cs="Times New Roman" w:eastAsia="Times New Roman" w:hAnsi="Times New Roman"/>
          <w:sz w:val="18"/>
          <w:szCs w:val="18"/>
          <w:color w:val="auto"/>
        </w:rPr>
        <w:t>Net cash used in operating activities of RMB8,237 thousand (US$1,135 thousand) for the six months ended March 31, 2025 was resulted from net income of RMB11,567 thousand (US$1,594 thousand), adjusted for non-cash operating activities of: (i) depreciation of RMB7 thousand (US$1 thousand),</w:t>
      </w:r>
    </w:p>
    <w:p>
      <w:pPr>
        <w:spacing w:after="0" w:line="1" w:lineRule="exact"/>
        <w:rPr>
          <w:sz w:val="20"/>
          <w:szCs w:val="20"/>
          <w:color w:val="auto"/>
        </w:rPr>
      </w:pPr>
    </w:p>
    <w:p>
      <w:pPr>
        <w:jc w:val="both"/>
        <w:ind w:firstLine="7"/>
        <w:spacing w:after="0" w:line="267" w:lineRule="auto"/>
        <w:tabs>
          <w:tab w:leader="none" w:pos="27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the right-of-use asset of RMB95 thousand (US$13 thousand) , (iii) provision of allowance for doubtful accounts of RMB94 thousand (US$13 thousand) , and (iv) provision of allowance for contract assets of RMB312 thousand (US$43 thousand). The amount was further adjusted by changes in operating assets and liabilities that collectively had a negative effect on cash flow, primarily including: i) increase in contract asset of RMB20,866 thousand (US$2,875 thousand) due to increase in revenue; ii) decrease in amount due to related party of RMB13,836 thousand (1,907 thousand) because the Group provided services to Beijing Jianlei International Decoration Engineering Co., Ltd.; and iii) decrease in account payable of RMB4,721 thousand (US$651 thousand); and iv) partially offset by increase in accrued expenses and other current liabilities of RMB19,449 thousand (US$2,680 thousand).</w:t>
      </w:r>
    </w:p>
    <w:p>
      <w:pPr>
        <w:spacing w:after="0" w:line="176" w:lineRule="exact"/>
        <w:rPr>
          <w:sz w:val="20"/>
          <w:szCs w:val="20"/>
          <w:color w:val="auto"/>
        </w:rPr>
      </w:pPr>
    </w:p>
    <w:p>
      <w:pPr>
        <w:jc w:val="both"/>
        <w:ind w:firstLine="643"/>
        <w:spacing w:after="0" w:line="268" w:lineRule="auto"/>
        <w:rPr>
          <w:sz w:val="20"/>
          <w:szCs w:val="20"/>
          <w:color w:val="auto"/>
        </w:rPr>
      </w:pPr>
      <w:r>
        <w:rPr>
          <w:rFonts w:ascii="Times New Roman" w:cs="Times New Roman" w:eastAsia="Times New Roman" w:hAnsi="Times New Roman"/>
          <w:sz w:val="17"/>
          <w:szCs w:val="17"/>
          <w:color w:val="auto"/>
        </w:rPr>
        <w:t>Net cash provided by operating activities of RMB61,590 thousand for the six months ended March 31, 2024 was resulted from net income of RMB8,887 thousand, adjusted for non-cash operating activities of: (i) depreciation of RMB18 thousand, (ii) amortization of the right-of-use asset of RMB91 thousand, (iii) provision of allowance for doubtful accounts of RMB280 thousand, and (iv) provision of allowance for contract assets of RMB95 thousand, The amount was further adjusted by changes in operating assets and liabilities that collectively had a positive effect on cash flow, including primarily (i) increase in contract assets of RMB7,890 thousand, which was primarily driven by the increase of RMB92,846 thousand in our revenue from providing engineering solutions of intelligent projects from the year ended September 30, 2023 to the six months ended March 31, 2024,(ii) an decrease in amount due from related parties of RMB20,841 thousand, because Beijing Jianlei International Decoration Engineering Co., Ltd. repaid all the balances owed to us at September 30, 2023 during the six months ended March 31, 2024; (iii) an increase in amount due to related parties of RMB15,070 thousand, because Beijing Jianlei International Decoration Engineering Co., Ltd. paid some advances for the new projects undergoing in the six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133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5"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Net cash used in investing activities was nil for the six months ended March 31, 2025, as compared to RMB59,099 thousand during the six months ended March 31, 2024. We acquired Julong Online (Beijing) Technology Development Co., Ltd with RMB59,099 thousand On December 26,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5" w:lineRule="exact"/>
        <w:rPr>
          <w:sz w:val="20"/>
          <w:szCs w:val="20"/>
          <w:color w:val="auto"/>
        </w:rPr>
      </w:pPr>
    </w:p>
    <w:p>
      <w:pPr>
        <w:jc w:val="both"/>
        <w:ind w:firstLine="643"/>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RMB8,831 thousand (US$1,217 thousand) for the six months ended March 31, 2025, as compared to net cash used in financing activities of RMB14,835 thousand for the six months ended March 31, 2024. We repaid a short-term loan to Industrial and Commercial Bank of China for RMB10,000 thousand during the six months ended March 31, 2024, while we borrowed short-term loan from Industrial and Commercial Bank of China for RMB10,000 thousand (US$1,378 thousand) during the six months ended March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Commitments</w:t>
      </w:r>
    </w:p>
    <w:p>
      <w:pPr>
        <w:spacing w:after="0" w:line="223"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As of September 30, 2024 and March 31,2025, we did not have commitments contracted but not yet reflected in the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Contingencies</w:t>
      </w:r>
    </w:p>
    <w:p>
      <w:pPr>
        <w:spacing w:after="0" w:line="223" w:lineRule="exact"/>
        <w:rPr>
          <w:sz w:val="20"/>
          <w:szCs w:val="20"/>
          <w:color w:val="auto"/>
        </w:rPr>
      </w:pPr>
    </w:p>
    <w:p>
      <w:pPr>
        <w:jc w:val="both"/>
        <w:ind w:right="20" w:firstLine="643"/>
        <w:spacing w:after="0" w:line="278" w:lineRule="auto"/>
        <w:rPr>
          <w:sz w:val="20"/>
          <w:szCs w:val="20"/>
          <w:color w:val="auto"/>
        </w:rPr>
      </w:pPr>
      <w:r>
        <w:rPr>
          <w:rFonts w:ascii="Times New Roman" w:cs="Times New Roman" w:eastAsia="Times New Roman" w:hAnsi="Times New Roman"/>
          <w:sz w:val="18"/>
          <w:szCs w:val="18"/>
          <w:color w:val="auto"/>
        </w:rPr>
        <w:t>We are subject to periodic legal or administrative proceeding in the ordinary course of business. We do not have any pending legal or administrative proceeding to which we are a party that will have a material effect on its business or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5" w:lineRule="exact"/>
        <w:rPr>
          <w:sz w:val="20"/>
          <w:szCs w:val="20"/>
          <w:color w:val="auto"/>
        </w:rPr>
      </w:pPr>
    </w:p>
    <w:p>
      <w:pPr>
        <w:jc w:val="both"/>
        <w:ind w:firstLine="643"/>
        <w:spacing w:after="0" w:line="255" w:lineRule="auto"/>
        <w:rPr>
          <w:sz w:val="20"/>
          <w:szCs w:val="20"/>
          <w:color w:val="auto"/>
        </w:rPr>
      </w:pPr>
      <w:r>
        <w:rPr>
          <w:rFonts w:ascii="Times New Roman" w:cs="Times New Roman" w:eastAsia="Times New Roman" w:hAnsi="Times New Roman"/>
          <w:sz w:val="18"/>
          <w:szCs w:val="18"/>
          <w:color w:val="auto"/>
        </w:rPr>
        <w:t>We have not entered into any off-balance sheet financial guarantees or off-balance sheet commitments to guarantee the payment obligations of any third parties. We have not entered into any derivative contracts that are indexed to our shares and classified as shareholder’s equity or that are not reflected in our combined and consolidated financial statements. Furthermore, we do not have any retained or contingent interest in assets transferred to an unconsolidated entity that serves as credit, liquidity or market risk support to such an entity. We do not have any variable interest in any unconsolidated entity that provides financing, liquidity, market risk or credit support to us or engages in leasing, hedging or product development services with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5" w:lineRule="exact"/>
        <w:rPr>
          <w:sz w:val="20"/>
          <w:szCs w:val="20"/>
          <w:color w:val="auto"/>
        </w:rPr>
      </w:pPr>
    </w:p>
    <w:p>
      <w:pPr>
        <w:jc w:val="both"/>
        <w:ind w:firstLine="643"/>
        <w:spacing w:after="0" w:line="278" w:lineRule="auto"/>
        <w:rPr>
          <w:sz w:val="20"/>
          <w:szCs w:val="20"/>
          <w:color w:val="auto"/>
        </w:rPr>
      </w:pPr>
      <w:r>
        <w:rPr>
          <w:rFonts w:ascii="Times New Roman" w:cs="Times New Roman" w:eastAsia="Times New Roman" w:hAnsi="Times New Roman"/>
          <w:sz w:val="18"/>
          <w:szCs w:val="18"/>
          <w:color w:val="auto"/>
        </w:rPr>
        <w:t>Our material cash requirements as of September 30, 2024 and March 31, 2025 and any subsequent period primarily include our capital expenditures and contractual obligations.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5"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For the fiscal year ended September 30, 2024 and six months ended March 31, 2025, our capital expenditures were RMB59,099 thousand and nil respectively. The capital expenditure for the fiscal year ended September 30, 2024 was primarily related to the acquisition of Julong Online (Beijing) Technology Development Co., Ltd.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contractual obligations as of September 30, 2024 and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71335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Julong Holding Limited Reports Unaudited Financial Results for the First Half of Fiscal Year 2025</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BEIJING, September 25, 2025/GLOBE NEWSWIRE/ - Julong Holding Limited (“Julong” or the “Company”) (Nasdaq: JLHL), a growth-oriented provider of intelligent integrated solutions, today announced its unaudited financial results for the six months ended March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Half of Fiscal Year 2025 Financial Highlights</w:t>
      </w:r>
    </w:p>
    <w:p>
      <w:pPr>
        <w:spacing w:after="0" w:line="221" w:lineRule="exact"/>
        <w:rPr>
          <w:sz w:val="20"/>
          <w:szCs w:val="20"/>
          <w:color w:val="auto"/>
        </w:rPr>
      </w:pPr>
    </w:p>
    <w:p>
      <w:pPr>
        <w:ind w:left="320" w:hanging="313"/>
        <w:spacing w:after="0" w:line="261"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increased by 10.0% to RMB102,175 thousand (US$14,080 thousand) for the six months ended March 31, 2025, from RMB92,846 thousand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period of fiscal year 2024.</w:t>
      </w:r>
    </w:p>
    <w:p>
      <w:pPr>
        <w:spacing w:after="0" w:line="1" w:lineRule="exact"/>
        <w:rPr>
          <w:rFonts w:ascii="Times New Roman" w:cs="Times New Roman" w:eastAsia="Times New Roman" w:hAnsi="Times New Roman"/>
          <w:sz w:val="18"/>
          <w:szCs w:val="18"/>
          <w:color w:val="auto"/>
        </w:rPr>
      </w:pPr>
    </w:p>
    <w:p>
      <w:pPr>
        <w:ind w:left="320" w:hanging="313"/>
        <w:spacing w:after="0" w:line="248"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by 15.6% to RMB16,719 thousand (US$2,304 thousand) for the six months ended March 31, 2025, from RMB14,460 thousand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period of fiscal year 2024.</w:t>
      </w: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increased to 16.4% for the six months ended March 31, 2025, from 15.6% in the same period of fiscal year 2024.</w:t>
      </w:r>
    </w:p>
    <w:p>
      <w:pPr>
        <w:spacing w:after="0" w:line="7" w:lineRule="exact"/>
        <w:rPr>
          <w:rFonts w:ascii="Times New Roman" w:cs="Times New Roman" w:eastAsia="Times New Roman" w:hAnsi="Times New Roman"/>
          <w:sz w:val="18"/>
          <w:szCs w:val="18"/>
          <w:color w:val="auto"/>
        </w:rPr>
      </w:pPr>
    </w:p>
    <w:p>
      <w:pPr>
        <w:ind w:left="320" w:hanging="313"/>
        <w:spacing w:after="0" w:line="256"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increased by 30.2% to RMB11,567 thousand (US$1,594 thousand) in the six months ended March 31, 2025, from RMB8,887 thousand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of fiscal year 2024.</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Jiaqi Hu, the founder, Chairman of the Board of Directors, and Chief Executive Officer of Julong, commented, “As a growth-oriented professional provider of intelligent integrated solutions, we are pleased to announce strong operational and financial results in our initial earnings report as a public company. In the first half of fiscal year 2025, we recorded revenue growth of 10% year over year, and signed 144 contracts to provide engineering solutions for intelligent projects, an increase of 76% year over year. Looking ahead, we will focus on expanding our domestic business while broadening our international reach. By leveraging our cutting-edge technologies and growing brand influence as a U.S.-listed company, we aim to become a pioneer in the global expansion of Chinese intelligent construction companies. With our effective business model and scalable, innovative solutions, we are confident of seizing the global market’s tremendous opportunities to drive sustainable growth.”</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Airu Chen, the Chief Financial Officer of Julong, said, “We drove significant year-over-year increases in revenue and profitability amid an evolving macro environment in the first half of fiscal 2025. Total revenue increased by 10% year over year to RMB102 million, mainly due to the 13.4% year-over-year increase in revenue from our core engineering solutions for intelligent projects business. Our gross profit grew 15.6% and gross margin improved by 0.8 percentage points year over year. Notably, operating income and net income rose 30% and 30.2% year over year respectively, demonstrating our outstanding execution as well as growing benefits of scale. Going forward, our solid financial position and growing competitiveness will empower us to deliver long-term value to our shareholders.”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Closing of Initial Public Offering (“IPO”)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2025, the Company completed its initial public offering of 1,250,000 Class A ordinary shares at a public offering price of US$4.00 per share. On July 2, 2025, the Company announced the underwriter’s full exercise of the over-allotment option to purchase an additional 187,500 Class A ordinary shares at the public offering price from the Company. The total offering size was approximately US$5.75 million before deducting the underwriting discounts and commissions.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Financial Results for the First Half of Fiscal Year 2025</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increased by 10.0% to RMB102,175 thousand (US$14,080 thousand) in the six months ended March 31, 2025, from RMB92,846 thousand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fiscal year 2024, primarily attributable to an increase in the number of intelligent projects for which we provided engineering solutions, and an increase in the average service fee for engineering solutions for intelligent projects.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9" w:name="page30"/>
    <w:bookmarkEnd w:id="29"/>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Revenues from engineering solutions for intelligent projects </w:t>
      </w:r>
      <w:r>
        <w:rPr>
          <w:rFonts w:ascii="Times New Roman" w:cs="Times New Roman" w:eastAsia="Times New Roman" w:hAnsi="Times New Roman"/>
          <w:sz w:val="18"/>
          <w:szCs w:val="18"/>
          <w:color w:val="auto"/>
        </w:rPr>
        <w:t>increased by 13.4% to RMB97,861 thousand (US$13,486 thousand) in the six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from RMB86,317 thousand in the same period of fiscal year 2024.</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Revenues from intelligent project operation and maintenance </w:t>
      </w:r>
      <w:r>
        <w:rPr>
          <w:rFonts w:ascii="Times New Roman" w:cs="Times New Roman" w:eastAsia="Times New Roman" w:hAnsi="Times New Roman"/>
          <w:sz w:val="18"/>
          <w:szCs w:val="18"/>
          <w:color w:val="auto"/>
        </w:rPr>
        <w:t>were RMB4,304 thousand (US$593 thousand) in the six months ended March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RMB4,863 thousand in the same period of fiscal year 2024.</w:t>
      </w:r>
    </w:p>
    <w:p>
      <w:pPr>
        <w:spacing w:after="0" w:line="15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Revenues from sales of equipment and materials of intelligent systems </w:t>
      </w:r>
      <w:r>
        <w:rPr>
          <w:rFonts w:ascii="Times New Roman" w:cs="Times New Roman" w:eastAsia="Times New Roman" w:hAnsi="Times New Roman"/>
          <w:sz w:val="18"/>
          <w:szCs w:val="18"/>
          <w:color w:val="auto"/>
        </w:rPr>
        <w:t>were RMB10 thousand (US$1 thousand) in the six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compared with RMB1,666 thousand in the same period of fiscal year 2024.</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increased by 9.0% to RMB85,457 thousand (US$11,776 thousand) in the six months ended March 31, 2025, from RMB78,386 thousand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of fiscal year 2024.</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by 15.6% to RMB16,719 thousand (US$2,304 thousand) in the six months ended March 31, 2025, from RMB14,460 thousand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fiscal year 2024.</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increased to 16.4% for the six months ended March 31, 2025, from 15.6% in the same period of fiscal year 2024, primarily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growing benefits of scale as revenues increased.</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decreased by 22.1% to RMB3,106 thousand (US$428 thousand) in the six months ended March 31, 2025, from RMB3,989 thousand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of fiscal year 2024, primarily due to the company’s continuous efforts to reduce costs and improve efficiency.</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increased by 30.0% to RMB13,613 thousand (US$1,876 thousand) in the six months ended March 31, 2025, from RMB10,471 thousand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period of fiscal year 2024.</w:t>
      </w:r>
    </w:p>
    <w:p>
      <w:pPr>
        <w:spacing w:after="0" w:line="15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increased by 30.2% to RMB11,567 thousand (US$1,594 thousand) in the six months ended March 31, 2025, from RMB8,887 thousand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fiscal year 2024.</w:t>
      </w:r>
    </w:p>
    <w:p>
      <w:pPr>
        <w:spacing w:after="0" w:line="15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share </w:t>
      </w:r>
      <w:r>
        <w:rPr>
          <w:rFonts w:ascii="Times New Roman" w:cs="Times New Roman" w:eastAsia="Times New Roman" w:hAnsi="Times New Roman"/>
          <w:sz w:val="18"/>
          <w:szCs w:val="18"/>
          <w:color w:val="auto"/>
        </w:rPr>
        <w:t>increased to RMB0.58 (US$0.08) in the six months ended March 31, 2025, from RMB0.44 per share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fiscal year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Sheets</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March 31, 2025, the Company had cash and cash equivalents, restricted cash of RMB21,366 thousand (US$2,944 thousand), compared with RMB20,772 thousand as of September 30, 2024. Our cash and cash equivalents and restricted cash primarily consist of cash and time deposits with terms of three months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7:00 AM U.S. Eastern Time on September 25, 2025 (7:00 PM Beijing/Hong Kong time on September 25, 2025). Details for the conference call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Event Title:</w:t>
            </w: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Julong Holding Limited First Half of Fiscal Year 2025 Earnings Conference Call</w:t>
            </w:r>
          </w:p>
        </w:tc>
      </w:tr>
      <w:tr>
        <w:trPr>
          <w:trHeight w:val="192"/>
        </w:trPr>
        <w:tc>
          <w:tcPr>
            <w:tcW w:w="19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Registration Link</w:t>
            </w:r>
          </w:p>
        </w:tc>
        <w:tc>
          <w:tcPr>
            <w:tcW w:w="638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w w:val="98"/>
              </w:rPr>
              <w:t>https://register-conf.media-server.com/register/BI7d585a76d61344b0a4b32bd2991d5272</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ir.julongzx.com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35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About Julong Holding Limited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Founded in 1997, Julong is a growth-oriented professional provider of intelligent integrated solutions to public utilities, commercial properties, and multifamily residential properties operating at scale in China. The Company’s comprehensive suite of intelligent integrated solutions includes systems for intelligent security, fire protection, parking, toll collection, broadcasting, identification, data room, emergency command, and city management. Since its inception, Julong has focused on the successful and on-time execution of complex projects, through its “deliveries before deadline” and “customers first” initiatives. As Julong continues to cross-sell its service and solution offerings and advance its purpose-built technologies, the Company is well-positioned to achieve economies of scale and capture future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ir.julongzx.com</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a specified rate solely for the convenience of the reader. Unless otherwise noted, all translations from RMB to U.S. dollars and from U.S. dollars to RMB are made at a rate of RMB7.2567 to US$1.00, the exchange rate on March 31, 2025 set forth in the H.10 statistical release of the Federal Reserve Board. The Company makes no representation that the RMB or U.S. dollar amounts referred could be converted into U.S. dollars or RMB, as the case may be, at any particular rate or at all.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which are made pursuant to the “safe harbor” provisions of the U.S. Private Securities Litigation Reform Act of 1995. These forward-looking statements include, but are not limited to, statements relating to the anticipated size of the initial public offering and the expected trading commencement and closing dates. These forward-looking statements can be identified by terminology such as “will,” “would,” “may,” “expects,” “anticipates,” “aims,” “future,” “continues,” “could,” “should,” “target,” “intends,” “plans,” “believes,” “estimates,” “likely to,” and similar expressions. Statements that are not historical facts, including statements about the Company’s beliefs, plans, and expectations, are forward-looking statements. Forward-looking statements involve inherent risks and uncertainties. Actual results may differ materially from those indicated by such forward-looking statements as a result of various important factors, including: uncertainties related to market conditions, the satisfaction of customary closing conditions related to the initial public offering, the completion of the initial public offering on the anticipated terms, or at all, and other factors discussed in the “Risk Factors” section of the preliminary and final prospectus that forms a part of the effective registration statement filed with the Securities and Exchange Commission. All information provided in this press release is as of the date of this press release, and the Company does not undertake any obligation to update any forward-looking statement, except as required under applicable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ir@julongzx.com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Piacente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6508-0677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julong@thepiacentegroup.com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Piacente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julong@thepiacentegroup.com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35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4"/>
        </w:trPr>
        <w:tc>
          <w:tcPr>
            <w:tcW w:w="540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7"/>
        </w:trPr>
        <w:tc>
          <w:tcPr>
            <w:tcW w:w="54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8"/>
        </w:trPr>
        <w:tc>
          <w:tcPr>
            <w:tcW w:w="5400" w:type="dxa"/>
            <w:vAlign w:val="bottom"/>
          </w:tcPr>
          <w:p>
            <w:pPr>
              <w:spacing w:after="0"/>
              <w:rPr>
                <w:sz w:val="18"/>
                <w:szCs w:val="18"/>
                <w:color w:val="auto"/>
              </w:rPr>
            </w:pPr>
          </w:p>
        </w:tc>
        <w:tc>
          <w:tcPr>
            <w:tcW w:w="170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RMB</w:t>
            </w:r>
          </w:p>
        </w:tc>
        <w:tc>
          <w:tcPr>
            <w:tcW w:w="360" w:type="dxa"/>
            <w:vAlign w:val="bottom"/>
          </w:tcPr>
          <w:p>
            <w:pPr>
              <w:spacing w:after="0"/>
              <w:rPr>
                <w:sz w:val="18"/>
                <w:szCs w:val="18"/>
                <w:color w:val="auto"/>
              </w:rPr>
            </w:pPr>
          </w:p>
        </w:tc>
        <w:tc>
          <w:tcPr>
            <w:tcW w:w="168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168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20,618,058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21,273,012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2,931,499</w:t>
            </w:r>
          </w:p>
        </w:tc>
      </w:tr>
      <w:tr>
        <w:trPr>
          <w:trHeight w:val="21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154,072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12,816</w:t>
            </w:r>
          </w:p>
        </w:tc>
      </w:tr>
      <w:tr>
        <w:trPr>
          <w:trHeight w:val="196"/>
        </w:trPr>
        <w:tc>
          <w:tcPr>
            <w:tcW w:w="54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Accounts receivable (net of allowance of RMB641,101 and</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RMB738,023 as of September 30,2024 and March 31, 2025,</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12,677,175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17,054,250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2,350,138</w:t>
            </w:r>
          </w:p>
        </w:tc>
      </w:tr>
      <w:tr>
        <w:trPr>
          <w:trHeight w:val="196"/>
        </w:trPr>
        <w:tc>
          <w:tcPr>
            <w:tcW w:w="54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receivable (net of allowance of RMB2,630 and nil as of</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2024 and March 31, 2025, respectively)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247,550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330,690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45,570</w:t>
            </w:r>
          </w:p>
        </w:tc>
      </w:tr>
      <w:tr>
        <w:trPr>
          <w:trHeight w:val="21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4,525,495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3,826,469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527,302</w:t>
            </w:r>
          </w:p>
        </w:tc>
      </w:tr>
      <w:tr>
        <w:trPr>
          <w:trHeight w:val="196"/>
        </w:trPr>
        <w:tc>
          <w:tcPr>
            <w:tcW w:w="54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Contract assets-current (net of allowance of RMB2,292,498 and</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RMB2,604,481 as of September 30, 2024 and March 31, 2025,</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123,079,151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143,633,239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19,793,190</w:t>
            </w:r>
          </w:p>
        </w:tc>
      </w:tr>
      <w:tr>
        <w:trPr>
          <w:trHeight w:val="228"/>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6,155,161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8,083,461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1,113,931</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167,456,662</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194,294,121</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26,774,446</w:t>
            </w: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97,359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90,242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12,436</w:t>
            </w:r>
          </w:p>
        </w:tc>
      </w:tr>
      <w:tr>
        <w:trPr>
          <w:trHeight w:val="21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572,187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634,369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87,418</w:t>
            </w:r>
          </w:p>
        </w:tc>
      </w:tr>
      <w:tr>
        <w:trPr>
          <w:trHeight w:val="21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127,163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32,161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4,432</w:t>
            </w:r>
          </w:p>
        </w:tc>
      </w:tr>
      <w:tr>
        <w:trPr>
          <w:trHeight w:val="228"/>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 non-current, net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4,824,870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4,348,188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599,196</w:t>
            </w: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5,621,579</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5,104,960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173,078,241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199,399,081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27,477,928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6"/>
        </w:trPr>
        <w:tc>
          <w:tcPr>
            <w:tcW w:w="5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51"/>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4"/>
        </w:trPr>
        <w:tc>
          <w:tcPr>
            <w:tcW w:w="540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7"/>
        </w:trPr>
        <w:tc>
          <w:tcPr>
            <w:tcW w:w="54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8"/>
        </w:trPr>
        <w:tc>
          <w:tcPr>
            <w:tcW w:w="54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1,378,037</w:t>
            </w:r>
          </w:p>
        </w:tc>
      </w:tr>
      <w:tr>
        <w:trPr>
          <w:trHeight w:val="21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26,759,291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22,038,550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3,036,993</w:t>
            </w:r>
          </w:p>
        </w:tc>
      </w:tr>
      <w:tr>
        <w:trPr>
          <w:trHeight w:val="21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255,740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2,337,063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322,056</w:t>
            </w:r>
          </w:p>
        </w:tc>
      </w:tr>
      <w:tr>
        <w:trPr>
          <w:trHeight w:val="21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108,867,471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128,316,651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17,682,507</w:t>
            </w:r>
          </w:p>
        </w:tc>
      </w:tr>
      <w:tr>
        <w:trPr>
          <w:trHeight w:val="21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14,446,857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610,730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84,161</w:t>
            </w:r>
          </w:p>
        </w:tc>
      </w:tr>
      <w:tr>
        <w:trPr>
          <w:trHeight w:val="21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5,277,938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7,153,482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985,776</w:t>
            </w:r>
          </w:p>
        </w:tc>
      </w:tr>
      <w:tr>
        <w:trPr>
          <w:trHeight w:val="228"/>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95,003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155,702,300</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170,456,476</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23,489,530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ectPr>
          <w:pgSz w:w="11900" w:h="16838" w:orient="portrait"/>
          <w:cols w:equalWidth="0" w:num="1">
            <w:col w:w="11240"/>
          </w:cols>
          <w:pgMar w:left="320" w:top="67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Subscription Receivable</w:t>
      </w:r>
    </w:p>
    <w:p>
      <w:pPr>
        <w:spacing w:after="0" w:line="7" w:lineRule="exact"/>
        <w:rPr>
          <w:sz w:val="20"/>
          <w:szCs w:val="20"/>
          <w:color w:val="auto"/>
        </w:rPr>
      </w:pPr>
    </w:p>
    <w:p>
      <w:pPr>
        <w:ind w:left="180"/>
        <w:spacing w:after="0" w:line="263" w:lineRule="auto"/>
        <w:rPr>
          <w:sz w:val="20"/>
          <w:szCs w:val="20"/>
          <w:color w:val="auto"/>
        </w:rPr>
      </w:pPr>
      <w:r>
        <w:rPr>
          <w:rFonts w:ascii="Times New Roman" w:cs="Times New Roman" w:eastAsia="Times New Roman" w:hAnsi="Times New Roman"/>
          <w:sz w:val="17"/>
          <w:szCs w:val="17"/>
          <w:color w:val="auto"/>
        </w:rPr>
        <w:t>Ordinary shares subscribed (US$0.0001 par value, 500,000,000 shares authorized as of September 30, 2024 and March 31, 2025; 20,011,132 shares issued and outstanding as of September 30, 2024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155,702,300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170,456,476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23,489,530</w:t>
            </w:r>
          </w:p>
        </w:tc>
        <w:tc>
          <w:tcPr>
            <w:tcW w:w="40" w:type="dxa"/>
            <w:vAlign w:val="bottom"/>
          </w:tcPr>
          <w:p>
            <w:pPr>
              <w:spacing w:after="0"/>
              <w:rPr>
                <w:sz w:val="20"/>
                <w:szCs w:val="20"/>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9"/>
        </w:trPr>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(14,043)</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(14,521)</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-450215</wp:posOffset>
            </wp:positionV>
            <wp:extent cx="7133590" cy="161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16129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-135890</wp:posOffset>
            </wp:positionV>
            <wp:extent cx="7133590" cy="135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5000" w:space="400"/>
            <w:col w:w="5840"/>
          </w:cols>
          <w:pgMar w:left="320" w:top="679" w:right="3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5400" w:type="dxa"/>
            <w:vAlign w:val="bottom"/>
          </w:tcPr>
          <w:p>
            <w:pPr>
              <w:ind w:left="180"/>
              <w:spacing w:after="0" w:line="253" w:lineRule="exact"/>
              <w:rPr>
                <w:sz w:val="20"/>
                <w:szCs w:val="20"/>
                <w:color w:val="auto"/>
              </w:rPr>
            </w:pPr>
            <w:r>
              <w:rPr>
                <w:rFonts w:ascii="Times New Roman" w:cs="Times New Roman" w:eastAsia="Times New Roman" w:hAnsi="Times New Roman"/>
                <w:sz w:val="18"/>
                <w:szCs w:val="18"/>
                <w:color w:val="auto"/>
              </w:rPr>
              <w:t>and March 31, 2025</w:t>
            </w:r>
            <w:r>
              <w:rPr>
                <w:rFonts w:ascii="Times New Roman" w:cs="Times New Roman" w:eastAsia="Times New Roman" w:hAnsi="Times New Roman"/>
                <w:sz w:val="29"/>
                <w:szCs w:val="29"/>
                <w:color w:val="auto"/>
                <w:vertAlign w:val="superscript"/>
              </w:rPr>
              <w:t>1)</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14,043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14,521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tcPr>
          <w:p>
            <w:pPr>
              <w:spacing w:after="0"/>
              <w:rPr>
                <w:sz w:val="22"/>
                <w:szCs w:val="22"/>
                <w:color w:val="auto"/>
              </w:rPr>
            </w:pPr>
          </w:p>
        </w:tc>
      </w:tr>
      <w:tr>
        <w:trPr>
          <w:trHeight w:val="21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reserve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3,267,815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4,424,481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609,710</w:t>
            </w:r>
          </w:p>
        </w:tc>
        <w:tc>
          <w:tcPr>
            <w:tcW w:w="80" w:type="dxa"/>
            <w:vAlign w:val="bottom"/>
            <w:shd w:val="clear" w:color="auto" w:fill="CCEEFF"/>
          </w:tcPr>
          <w:p>
            <w:pPr>
              <w:spacing w:after="0"/>
              <w:rPr>
                <w:sz w:val="18"/>
                <w:szCs w:val="18"/>
                <w:color w:val="auto"/>
              </w:rPr>
            </w:pPr>
          </w:p>
        </w:tc>
      </w:tr>
      <w:tr>
        <w:trPr>
          <w:trHeight w:val="228"/>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14,108,126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24,518,124</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3,378,688</w:t>
            </w:r>
          </w:p>
        </w:tc>
        <w:tc>
          <w:tcPr>
            <w:tcW w:w="80" w:type="dxa"/>
            <w:vAlign w:val="bottom"/>
          </w:tcPr>
          <w:p>
            <w:pPr>
              <w:spacing w:after="0"/>
              <w:rPr>
                <w:sz w:val="19"/>
                <w:szCs w:val="19"/>
                <w:color w:val="auto"/>
              </w:rPr>
            </w:pP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17,375,941</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28,942,605</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3,988,398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1"/>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173,078,241</w:t>
            </w:r>
          </w:p>
        </w:tc>
        <w:tc>
          <w:tcPr>
            <w:tcW w:w="36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199,399,081</w:t>
            </w:r>
          </w:p>
        </w:tc>
        <w:tc>
          <w:tcPr>
            <w:tcW w:w="3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27,477,928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Giving retroactive effect to Reorganization transactions.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35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Six Months Ended March 31,</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5400" w:type="dxa"/>
            <w:vAlign w:val="bottom"/>
          </w:tcPr>
          <w:p>
            <w:pPr>
              <w:spacing w:after="0"/>
              <w:rPr>
                <w:sz w:val="19"/>
                <w:szCs w:val="19"/>
                <w:color w:val="auto"/>
              </w:rPr>
            </w:pPr>
          </w:p>
        </w:tc>
        <w:tc>
          <w:tcPr>
            <w:tcW w:w="170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202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68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RMB</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RMB</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92,845,812</w:t>
            </w:r>
          </w:p>
        </w:tc>
        <w:tc>
          <w:tcPr>
            <w:tcW w:w="2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102,175,246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14,080,125</w:t>
            </w: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78,385,993</w:t>
            </w:r>
          </w:p>
        </w:tc>
        <w:tc>
          <w:tcPr>
            <w:tcW w:w="2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85,456,746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11,776,254</w:t>
            </w: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14,459,819</w:t>
            </w:r>
          </w:p>
        </w:tc>
        <w:tc>
          <w:tcPr>
            <w:tcW w:w="2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16,718,500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2,303,871</w:t>
            </w:r>
          </w:p>
        </w:tc>
      </w:tr>
      <w:tr>
        <w:trPr>
          <w:trHeight w:val="208"/>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3,988,800</w:t>
            </w:r>
          </w:p>
        </w:tc>
        <w:tc>
          <w:tcPr>
            <w:tcW w:w="2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3,105,980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428,015</w:t>
            </w: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3,988,800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3,105,980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10,471,019</w:t>
            </w:r>
          </w:p>
        </w:tc>
        <w:tc>
          <w:tcPr>
            <w:tcW w:w="2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13,612,520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1,875,856</w:t>
            </w:r>
          </w:p>
        </w:tc>
      </w:tr>
      <w:tr>
        <w:trPr>
          <w:trHeight w:val="214"/>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6,152</w:t>
            </w:r>
          </w:p>
        </w:tc>
        <w:tc>
          <w:tcPr>
            <w:tcW w:w="2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(936)</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263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10,477,171</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13,611,847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1,875,763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1,589,833</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2,045,183</w:t>
            </w:r>
          </w:p>
        </w:tc>
        <w:tc>
          <w:tcPr>
            <w:tcW w:w="3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281,834</w:t>
            </w:r>
          </w:p>
        </w:tc>
        <w:tc>
          <w:tcPr>
            <w:tcW w:w="100" w:type="dxa"/>
            <w:vAlign w:val="bottom"/>
            <w:tcBorders>
              <w:bottom w:val="single" w:sz="8" w:color="CCEEFF"/>
            </w:tcBorders>
          </w:tcPr>
          <w:p>
            <w:pPr>
              <w:spacing w:after="0"/>
              <w:rPr>
                <w:sz w:val="18"/>
                <w:szCs w:val="18"/>
                <w:color w:val="auto"/>
              </w:rPr>
            </w:pPr>
          </w:p>
        </w:tc>
      </w:tr>
      <w:tr>
        <w:trPr>
          <w:trHeight w:val="208"/>
        </w:trPr>
        <w:tc>
          <w:tcPr>
            <w:tcW w:w="5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6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net of tax of nil: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8,887,338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11,566,664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1,593,929</w:t>
            </w:r>
          </w:p>
        </w:tc>
      </w:tr>
      <w:tr>
        <w:trPr>
          <w:trHeight w:val="233"/>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8,887,338</w:t>
            </w:r>
          </w:p>
        </w:tc>
        <w:tc>
          <w:tcPr>
            <w:tcW w:w="3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11,566,664</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1,593,929</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-322580</wp:posOffset>
            </wp:positionV>
            <wp:extent cx="7133590" cy="144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24765</wp:posOffset>
            </wp:positionV>
            <wp:extent cx="71335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2">
            <w:col w:w="4680" w:space="720"/>
            <w:col w:w="5840"/>
          </w:cols>
          <w:pgMar w:left="320" w:top="666" w:right="339" w:bottom="1440" w:gutter="0" w:footer="0" w:header="0"/>
          <w:type w:val="continuous"/>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Total Julong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Holding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Additional</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(Accumulated</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Limited</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Non-</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Subscription</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paid-in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Statutory</w:t>
            </w: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comprehensive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deficit)/Retained</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shareholders’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controlling</w:t>
            </w:r>
          </w:p>
        </w:tc>
        <w:tc>
          <w:tcPr>
            <w:tcW w:w="9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16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Ordinary shares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Receivable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capital</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reserve</w:t>
            </w:r>
          </w:p>
        </w:tc>
        <w:tc>
          <w:tcPr>
            <w:tcW w:w="4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income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earnings</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equity</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interest</w:t>
            </w: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9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Number</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RMB</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RMB</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RMB</w:t>
            </w:r>
          </w:p>
        </w:tc>
        <w:tc>
          <w:tcPr>
            <w:tcW w:w="12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20" w:type="dxa"/>
            <w:vAlign w:val="bottom"/>
          </w:tcPr>
          <w:p>
            <w:pPr>
              <w:spacing w:after="0"/>
              <w:rPr>
                <w:sz w:val="19"/>
                <w:szCs w:val="19"/>
                <w:color w:val="auto"/>
              </w:rPr>
            </w:pPr>
          </w:p>
        </w:tc>
        <w:tc>
          <w:tcPr>
            <w:tcW w:w="9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RMB</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1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20,011,132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14,600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(14,600)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52,000,000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1,560,196</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5,838,058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59,398,254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59,398,254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bottom w:val="single" w:sz="8" w:color="CCEEFF"/>
            </w:tcBorders>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Net income for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the year</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8,887,338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8,887,338</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8,887,338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Provision of</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888,734</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(888,734)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Reorganization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 February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(52,000,000)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(7,098,500)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(59,098,500)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(59,098,500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Foreign</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20,011,132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14,449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(14,449)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2,448,930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6,738,162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9,187,092</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9,187,092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1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20,011,132</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14,043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(14,043)</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3,267,815</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14,108,126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17,375,941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17,375,941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for</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year</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11,566,664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11,566,664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11,566,664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Provision of</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statutory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reserve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1,156,666</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(1,156,666)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Foreign</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20,011,132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14,521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(14,521)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4,424,481</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24,518,124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28,942,605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28,942,605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66"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JULONG HOLDING LIMITED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80" w:type="dxa"/>
            <w:vAlign w:val="bottom"/>
            <w:gridSpan w:val="6"/>
          </w:tcPr>
          <w:p>
            <w:pPr>
              <w:ind w:left="24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6080" w:type="dxa"/>
            <w:vAlign w:val="bottom"/>
          </w:tcPr>
          <w:p>
            <w:pPr>
              <w:spacing w:after="0"/>
              <w:rPr>
                <w:sz w:val="24"/>
                <w:szCs w:val="24"/>
                <w:color w:val="auto"/>
              </w:rPr>
            </w:pPr>
          </w:p>
        </w:tc>
        <w:tc>
          <w:tcPr>
            <w:tcW w:w="390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6080" w:type="dxa"/>
            <w:vAlign w:val="bottom"/>
          </w:tcPr>
          <w:p>
            <w:pPr>
              <w:spacing w:after="0"/>
              <w:rPr>
                <w:sz w:val="19"/>
                <w:szCs w:val="19"/>
                <w:color w:val="auto"/>
              </w:rPr>
            </w:pPr>
          </w:p>
        </w:tc>
        <w:tc>
          <w:tcPr>
            <w:tcW w:w="14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4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8"/>
        </w:trPr>
        <w:tc>
          <w:tcPr>
            <w:tcW w:w="60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r>
      <w:tr>
        <w:trPr>
          <w:trHeight w:val="20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8,887,338</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11,566,664</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1,593,929</w:t>
            </w:r>
          </w:p>
        </w:tc>
      </w:tr>
      <w:tr>
        <w:trPr>
          <w:trHeight w:val="196"/>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17,690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7,117</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w:t>
            </w: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the right-of-use assets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90,695</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95,003</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13,092</w:t>
            </w: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allowance for doubtful accounts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280,208</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94,292</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12,994</w:t>
            </w: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allowance for contract assets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95,174</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311,983</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42,992</w:t>
            </w:r>
          </w:p>
        </w:tc>
      </w:tr>
      <w:tr>
        <w:trPr>
          <w:trHeight w:val="214"/>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(986,247)</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(4,473,997)</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(616,533)</w:t>
            </w: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(97,484)</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(80,510)</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(11,095)</w:t>
            </w: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644,397</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(759,161)</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(104,615)</w:t>
            </w: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7,890,313</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(20,866,070)</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(2,875,421)</w:t>
            </w: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20,841,246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699,026</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96,328</w:t>
            </w: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(56,182)</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(62,182)</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(8,569)</w:t>
            </w: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(472,905)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476,681</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65,688</w:t>
            </w: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11,417,068</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(4,720,741)</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(650,536)</w:t>
            </w: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1,441,732</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16,811,087</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2,316,630</w:t>
            </w: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1,990,524</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1,875,544</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258,457</w:t>
            </w: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(5,492,726)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2,081,323</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286,814</w:t>
            </w: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15,070,141</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(13,836,127)</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(1,906,669)</w:t>
            </w: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(90,695)</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(95,003)</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(13,092)</w:t>
            </w:r>
          </w:p>
        </w:tc>
      </w:tr>
      <w:tr>
        <w:trPr>
          <w:trHeight w:val="22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119,707</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2,638,092</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363,539</w:t>
            </w:r>
          </w:p>
        </w:tc>
      </w:tr>
      <w:tr>
        <w:trPr>
          <w:trHeight w:val="208"/>
        </w:trPr>
        <w:tc>
          <w:tcPr>
            <w:tcW w:w="60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61,589,994</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(8,236,979)</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(1,135,086)</w:t>
            </w:r>
          </w:p>
        </w:tc>
      </w:tr>
      <w:tr>
        <w:trPr>
          <w:trHeight w:val="214"/>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Julong Online</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(59,098,500)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8"/>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(59,098,500)</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2" w:lineRule="exact"/>
        <w:rPr>
          <w:sz w:val="20"/>
          <w:szCs w:val="20"/>
          <w:color w:val="auto"/>
        </w:rPr>
      </w:pPr>
    </w:p>
    <w:p>
      <w:pPr>
        <w:sectPr>
          <w:pgSz w:w="11900" w:h="16838" w:orient="portrait"/>
          <w:cols w:equalWidth="0" w:num="1">
            <w:col w:w="11240"/>
          </w:cols>
          <w:pgMar w:left="320" w:top="666" w:right="339" w:bottom="1440" w:gutter="0" w:footer="0" w:header="0"/>
        </w:sectPr>
      </w:pPr>
    </w:p>
    <w:p>
      <w:pPr>
        <w:ind w:right="14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FLOWS FROM FINANCING ACTIVITIES </w:t>
      </w:r>
      <w:r>
        <w:rPr>
          <w:rFonts w:ascii="Times New Roman" w:cs="Times New Roman" w:eastAsia="Times New Roman" w:hAnsi="Times New Roman"/>
          <w:sz w:val="18"/>
          <w:szCs w:val="18"/>
          <w:color w:val="auto"/>
        </w:rPr>
        <w:t>Repayment of short-term borrowing Payment of deferred offering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(10,000,000)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1,378,037</w:t>
            </w:r>
          </w:p>
        </w:tc>
        <w:tc>
          <w:tcPr>
            <w:tcW w:w="60" w:type="dxa"/>
            <w:vAlign w:val="bottom"/>
          </w:tcPr>
          <w:p>
            <w:pPr>
              <w:spacing w:after="0"/>
              <w:rPr>
                <w:sz w:val="18"/>
                <w:szCs w:val="18"/>
                <w:color w:val="auto"/>
              </w:rPr>
            </w:pPr>
          </w:p>
        </w:tc>
      </w:tr>
      <w:tr>
        <w:trPr>
          <w:trHeight w:val="246"/>
        </w:trPr>
        <w:tc>
          <w:tcPr>
            <w:tcW w:w="18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(4,835,479)</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(1,169,139)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(161,112)</w:t>
            </w:r>
          </w:p>
        </w:tc>
      </w:tr>
      <w:tr>
        <w:trPr>
          <w:trHeight w:val="208"/>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(14,835,479</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8,830,861</w:t>
            </w:r>
          </w:p>
        </w:tc>
        <w:tc>
          <w:tcPr>
            <w:tcW w:w="3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1,216,925</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-568960</wp:posOffset>
            </wp:positionV>
            <wp:extent cx="7133590" cy="135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-297180</wp:posOffset>
            </wp:positionV>
            <wp:extent cx="7133590" cy="1447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4478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360" w:space="720"/>
            <w:col w:w="5160"/>
          </w:cols>
          <w:pgMar w:left="320" w:top="666"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2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(12,343,985)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593,882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81,839</w:t>
            </w:r>
          </w:p>
        </w:tc>
        <w:tc>
          <w:tcPr>
            <w:tcW w:w="0" w:type="dxa"/>
            <w:vAlign w:val="bottom"/>
          </w:tcPr>
          <w:p>
            <w:pPr>
              <w:spacing w:after="0"/>
              <w:rPr>
                <w:sz w:val="1"/>
                <w:szCs w:val="1"/>
                <w:color w:val="auto"/>
              </w:rPr>
            </w:pPr>
          </w:p>
        </w:tc>
      </w:tr>
      <w:tr>
        <w:trPr>
          <w:trHeight w:val="22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the period</w:t>
            </w:r>
          </w:p>
        </w:tc>
        <w:tc>
          <w:tcPr>
            <w:tcW w:w="25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25,614,931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20,772,130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2,862,476</w:t>
            </w: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25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13,270,946</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21,366,012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2,944,315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331"/>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6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0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lowerLetter"/>
      <w:start w:val="2"/>
    </w:lvl>
  </w:abstractNum>
  <w:abstractNum w:abstractNumId="5">
    <w:nsid w:val="7FDCC233"/>
    <w:multiLevelType w:val="hybridMultilevel"/>
    <w:lvl w:ilvl="0">
      <w:lvlJc w:val="left"/>
      <w:lvlText w:val="(%1)"/>
      <w:numFmt w:val="lowerLetter"/>
      <w:start w:val="4"/>
    </w:lvl>
  </w:abstractNum>
  <w:abstractNum w:abstractNumId="6">
    <w:nsid w:val="1BEFD79F"/>
    <w:multiLevelType w:val="hybridMultilevel"/>
    <w:lvl w:ilvl="0">
      <w:lvlJc w:val="left"/>
      <w:lvlText w:val="(%1)"/>
      <w:numFmt w:val="lowerLetter"/>
      <w:start w:val="5"/>
    </w:lvl>
  </w:abstractNum>
  <w:abstractNum w:abstractNumId="7">
    <w:nsid w:val="41A7C4C9"/>
    <w:multiLevelType w:val="hybridMultilevel"/>
    <w:lvl w:ilvl="0">
      <w:lvlJc w:val="left"/>
      <w:lvlText w:val="(%1)"/>
      <w:numFmt w:val="lowerLetter"/>
      <w:start w:val="6"/>
    </w:lvl>
  </w:abstractNum>
  <w:abstractNum w:abstractNumId="8">
    <w:nsid w:val="6B68079A"/>
    <w:multiLevelType w:val="hybridMultilevel"/>
    <w:lvl w:ilvl="0">
      <w:lvlJc w:val="left"/>
      <w:lvlText w:val="(%1)"/>
      <w:numFmt w:val="lowerLetter"/>
      <w:start w:val="1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2"/>
    </w:lvl>
  </w:abstractNum>
  <w:abstractNum w:abstractNumId="11">
    <w:nsid w:val="519B500D"/>
    <w:multiLevelType w:val="hybridMultilevel"/>
    <w:lvl w:ilvl="0">
      <w:lvlJc w:val="left"/>
      <w:lvlText w:val="(%1)"/>
      <w:numFmt w:val="lowerLetter"/>
      <w:start w:val="13"/>
    </w:lvl>
  </w:abstractNum>
  <w:abstractNum w:abstractNumId="12">
    <w:nsid w:val="431BD7B7"/>
    <w:multiLevelType w:val="hybridMultilevel"/>
    <w:lvl w:ilvl="0">
      <w:lvlJc w:val="left"/>
      <w:lvlText w:val="(%1)"/>
      <w:numFmt w:val="lowerLetter"/>
      <w:start w:val="14"/>
    </w:lvl>
  </w:abstractNum>
  <w:abstractNum w:abstractNumId="13">
    <w:nsid w:val="3F2DBA31"/>
    <w:multiLevelType w:val="hybridMultilevel"/>
    <w:lvl w:ilvl="0">
      <w:lvlJc w:val="left"/>
      <w:lvlText w:val="(%1)"/>
      <w:numFmt w:val="lowerLetter"/>
      <w:start w:val="18"/>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4"/>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decimal"/>
      <w:start w:val="6"/>
    </w:lvl>
  </w:abstractNum>
  <w:abstractNum w:abstractNumId="18">
    <w:nsid w:val="628C895D"/>
    <w:multiLevelType w:val="hybridMultilevel"/>
    <w:lvl w:ilvl="0">
      <w:lvlJc w:val="left"/>
      <w:lvlText w:val="%1."/>
      <w:numFmt w:val="decimal"/>
      <w:start w:val="7"/>
    </w:lvl>
  </w:abstractNum>
  <w:abstractNum w:abstractNumId="19">
    <w:nsid w:val="333AB105"/>
    <w:multiLevelType w:val="hybridMultilevel"/>
    <w:lvl w:ilvl="0">
      <w:lvlJc w:val="left"/>
      <w:lvlText w:val="%1."/>
      <w:numFmt w:val="decimal"/>
      <w:start w:val="9"/>
    </w:lvl>
  </w:abstractNum>
  <w:abstractNum w:abstractNumId="20">
    <w:nsid w:val="721DA317"/>
    <w:multiLevelType w:val="hybridMultilevel"/>
    <w:lvl w:ilvl="0">
      <w:lvlJc w:val="left"/>
      <w:lvlText w:val="%1."/>
      <w:numFmt w:val="decimal"/>
      <w:start w:val="18"/>
    </w:lvl>
    <w:lvl w:ilvl="1">
      <w:lvlJc w:val="left"/>
      <w:lvlText w:val="(%2)"/>
      <w:numFmt w:val="lowerLetter"/>
      <w:start w:val="1"/>
    </w:lvl>
  </w:abstractNum>
  <w:abstractNum w:abstractNumId="21">
    <w:nsid w:val="2443A858"/>
    <w:multiLevelType w:val="hybridMultilevel"/>
    <w:lvl w:ilvl="0">
      <w:lvlJc w:val="left"/>
      <w:lvlText w:val="(%1)"/>
      <w:numFmt w:val="lowerRoman"/>
      <w:start w:val="2"/>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2025-09-25T05:12:37Z</dcterms:created>
  <dcterms:modified xsi:type="dcterms:W3CDTF">2025-09-25T05:12:37Z</dcterms:modified>
</cp:coreProperties>
</file>