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188" w:lineRule="exact"/>
        <w:rPr>
          <w:sz w:val="24"/>
          <w:szCs w:val="24"/>
          <w:color w:val="auto"/>
        </w:rPr>
      </w:pPr>
    </w:p>
    <w:p>
      <w:pPr>
        <w:ind w:left="2180"/>
        <w:spacing w:after="0" w:line="207" w:lineRule="exact"/>
        <w:tabs>
          <w:tab w:leader="none" w:pos="3360" w:val="left"/>
        </w:tabs>
        <w:rPr>
          <w:sz w:val="20"/>
          <w:szCs w:val="20"/>
          <w:color w:val="auto"/>
        </w:rPr>
      </w:pPr>
      <w:r>
        <w:rPr>
          <w:rFonts w:ascii="Times New Roman" w:cs="Times New Roman" w:eastAsia="Times New Roman" w:hAnsi="Times New Roman"/>
          <w:sz w:val="18"/>
          <w:szCs w:val="18"/>
          <w:i w:val="1"/>
          <w:iCs w:val="1"/>
          <w:color w:val="auto"/>
        </w:rPr>
        <w:t>(Check One):</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10-K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20-F</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11-K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10-Q</w:t>
      </w:r>
    </w:p>
    <w:p>
      <w:pPr>
        <w:spacing w:after="0" w:line="63" w:lineRule="exact"/>
        <w:rPr>
          <w:sz w:val="24"/>
          <w:szCs w:val="24"/>
          <w:color w:val="auto"/>
        </w:rPr>
      </w:pPr>
    </w:p>
    <w:p>
      <w:pPr>
        <w:ind w:left="3380" w:right="3299" w:firstLine="3"/>
        <w:spacing w:after="0" w:line="326" w:lineRule="exact"/>
        <w:tabs>
          <w:tab w:leader="none" w:pos="358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10-D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 For Period Ended: </w:t>
      </w:r>
      <w:r>
        <w:rPr>
          <w:rFonts w:ascii="Times New Roman" w:cs="Times New Roman" w:eastAsia="Times New Roman" w:hAnsi="Times New Roman"/>
          <w:sz w:val="18"/>
          <w:szCs w:val="18"/>
          <w:b w:val="1"/>
          <w:bCs w:val="1"/>
          <w:color w:val="auto"/>
        </w:rPr>
        <w:t>September 30, 2025</w:t>
      </w:r>
    </w:p>
    <w:p>
      <w:pPr>
        <w:spacing w:after="0" w:line="198" w:lineRule="exact"/>
        <w:rPr>
          <w:rFonts w:ascii="MS PGothic" w:cs="MS PGothic" w:eastAsia="MS PGothic" w:hAnsi="MS PGothic"/>
          <w:sz w:val="18"/>
          <w:szCs w:val="18"/>
          <w:color w:val="auto"/>
        </w:rPr>
      </w:pPr>
    </w:p>
    <w:p>
      <w:pPr>
        <w:ind w:left="3600" w:hanging="217"/>
        <w:spacing w:after="0"/>
        <w:tabs>
          <w:tab w:leader="none" w:pos="3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25" w:lineRule="exact"/>
        <w:rPr>
          <w:rFonts w:ascii="MS PGothic" w:cs="MS PGothic" w:eastAsia="MS PGothic" w:hAnsi="MS PGothic"/>
          <w:sz w:val="18"/>
          <w:szCs w:val="18"/>
          <w:color w:val="auto"/>
        </w:rPr>
      </w:pPr>
    </w:p>
    <w:p>
      <w:pPr>
        <w:ind w:left="3600" w:hanging="217"/>
        <w:spacing w:after="0"/>
        <w:tabs>
          <w:tab w:leader="none" w:pos="3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225" w:lineRule="exact"/>
        <w:rPr>
          <w:rFonts w:ascii="MS PGothic" w:cs="MS PGothic" w:eastAsia="MS PGothic" w:hAnsi="MS PGothic"/>
          <w:sz w:val="18"/>
          <w:szCs w:val="18"/>
          <w:color w:val="auto"/>
        </w:rPr>
      </w:pPr>
    </w:p>
    <w:p>
      <w:pPr>
        <w:ind w:left="3600" w:hanging="217"/>
        <w:spacing w:after="0"/>
        <w:tabs>
          <w:tab w:leader="none" w:pos="3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225" w:lineRule="exact"/>
        <w:rPr>
          <w:rFonts w:ascii="MS PGothic" w:cs="MS PGothic" w:eastAsia="MS PGothic" w:hAnsi="MS PGothic"/>
          <w:sz w:val="18"/>
          <w:szCs w:val="18"/>
          <w:color w:val="auto"/>
        </w:rPr>
      </w:pPr>
    </w:p>
    <w:p>
      <w:pPr>
        <w:ind w:left="3600" w:hanging="217"/>
        <w:spacing w:after="0"/>
        <w:tabs>
          <w:tab w:leader="none" w:pos="3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25"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2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Nothing in this form shall be construed to imply that the Commission has verified any information contained herein.</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Julong Holding Limited</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Room 2009, Building A, Times Fortune World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No.1 Hangfeng Road, Fengtai District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0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Beijing, China 100070</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800" w:hanging="333"/>
        <w:spacing w:after="0"/>
        <w:tabs>
          <w:tab w:leader="none" w:pos="8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described in reasonable detail in Part III of this form could not be eliminated without unreasonable effort or expense;</w:t>
      </w:r>
    </w:p>
    <w:p>
      <w:pPr>
        <w:spacing w:after="0" w:line="225" w:lineRule="exact"/>
        <w:rPr>
          <w:rFonts w:ascii="Times New Roman" w:cs="Times New Roman" w:eastAsia="Times New Roman" w:hAnsi="Times New Roman"/>
          <w:sz w:val="18"/>
          <w:szCs w:val="18"/>
          <w:color w:val="auto"/>
        </w:rPr>
      </w:pPr>
    </w:p>
    <w:p>
      <w:pPr>
        <w:ind w:left="800" w:hanging="792"/>
        <w:spacing w:after="0" w:line="261" w:lineRule="auto"/>
        <w:tabs>
          <w:tab w:leader="none" w:pos="46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 The subject annual report, semi-annual report, transition report on Form 10-K, Form 20-F, Form 11-K, Form N-CEN or Form N-CSR, or portion thereof, will be filed on or before the fifteenth calendar day following the prescribed due date; or the subject quarterly report of transition report on Form 10-Q or subject distribution report on Form 10-D, or portion thereof, will be filed on or before the fifth calendar day following the prescribed date; and</w:t>
      </w:r>
    </w:p>
    <w:p>
      <w:pPr>
        <w:spacing w:after="0" w:line="179" w:lineRule="exact"/>
        <w:rPr>
          <w:rFonts w:ascii="MS PGothic" w:cs="MS PGothic" w:eastAsia="MS PGothic" w:hAnsi="MS PGothic"/>
          <w:sz w:val="18"/>
          <w:szCs w:val="18"/>
          <w:color w:val="auto"/>
        </w:rPr>
      </w:pPr>
    </w:p>
    <w:p>
      <w:pPr>
        <w:ind w:left="800" w:hanging="333"/>
        <w:spacing w:after="0"/>
        <w:tabs>
          <w:tab w:leader="none" w:pos="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-1079500</wp:posOffset>
            </wp:positionV>
            <wp:extent cx="8255" cy="10972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109728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N-CEN, N-CSR, or the transition report or portion thereof, could not be filed within the prescribed time period.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Julong Holding Limited (the “Registrant”) has determined that it is unable to file its Annual Report on Form 20-F for the fiscal year ended September 30, 2025 (the “Form 20-F”) by February 1, 2026 without unreasonable effort and expense. The Registrant anticipates that it will file the Form 20-F no later than the fifteenth calendar day following the prescribed filing date.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500" w:type="dxa"/>
            <w:vAlign w:val="bottom"/>
            <w:gridSpan w:val="4"/>
          </w:tcPr>
          <w:p>
            <w:pPr>
              <w:jc w:val="center"/>
              <w:ind w:right="1880"/>
              <w:spacing w:after="0"/>
              <w:rPr>
                <w:sz w:val="20"/>
                <w:szCs w:val="20"/>
                <w:color w:val="auto"/>
              </w:rPr>
            </w:pPr>
            <w:r>
              <w:rPr>
                <w:rFonts w:ascii="Times New Roman" w:cs="Times New Roman" w:eastAsia="Times New Roman" w:hAnsi="Times New Roman"/>
                <w:sz w:val="18"/>
                <w:szCs w:val="18"/>
                <w:color w:val="auto"/>
              </w:rPr>
              <w:t>Jiaqi Hu</w:t>
            </w:r>
          </w:p>
        </w:tc>
        <w:tc>
          <w:tcPr>
            <w:tcW w:w="528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+86-10-5809-0779</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20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(Area Code) (Telephone Number)</w:t>
            </w:r>
          </w:p>
        </w:tc>
      </w:tr>
    </w:tbl>
    <w:p>
      <w:pPr>
        <w:spacing w:after="0" w:line="179" w:lineRule="exact"/>
        <w:rPr>
          <w:sz w:val="20"/>
          <w:szCs w:val="20"/>
          <w:color w:val="auto"/>
        </w:rPr>
      </w:pPr>
    </w:p>
    <w:p>
      <w:pPr>
        <w:jc w:val="both"/>
        <w:ind w:left="460" w:hanging="452"/>
        <w:spacing w:after="0" w:line="232" w:lineRule="exact"/>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rFonts w:ascii="Times New Roman" w:cs="Times New Roman" w:eastAsia="Times New Roman" w:hAnsi="Times New Roman"/>
          <w:sz w:val="18"/>
          <w:szCs w:val="18"/>
          <w:color w:val="auto"/>
        </w:rPr>
      </w:pPr>
    </w:p>
    <w:p>
      <w:pPr>
        <w:ind w:left="460" w:hanging="452"/>
        <w:spacing w:after="0" w:line="239" w:lineRule="exact"/>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rFonts w:ascii="Times New Roman" w:cs="Times New Roman" w:eastAsia="Times New Roman" w:hAnsi="Times New Roman"/>
          <w:sz w:val="18"/>
          <w:szCs w:val="18"/>
          <w:color w:val="auto"/>
        </w:rPr>
      </w:pPr>
    </w:p>
    <w:p>
      <w:pPr>
        <w:ind w:left="4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Julong Holding Limited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30, 2026</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Jiaqi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Jiaqi Hu</w:t>
      </w:r>
    </w:p>
    <w:p>
      <w:pPr>
        <w:spacing w:after="0" w:line="23" w:lineRule="exact"/>
        <w:rPr>
          <w:sz w:val="20"/>
          <w:szCs w:val="20"/>
          <w:color w:val="auto"/>
        </w:rPr>
      </w:pPr>
    </w:p>
    <w:p>
      <w:pPr>
        <w:jc w:val="both"/>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2026-01-30T16:09:52Z</dcterms:created>
  <dcterms:modified xsi:type="dcterms:W3CDTF">2026-01-30T16:09:52Z</dcterms:modified>
</cp:coreProperties>
</file>